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998" w:rsidRPr="0098324C" w:rsidRDefault="00C32998" w:rsidP="00B818DF">
      <w:pPr>
        <w:pStyle w:val="Nzev"/>
        <w:spacing w:before="0"/>
        <w:ind w:left="0"/>
        <w:jc w:val="both"/>
        <w:rPr>
          <w:rFonts w:ascii="Arial" w:hAnsi="Arial" w:cs="Arial"/>
          <w:sz w:val="20"/>
        </w:rPr>
      </w:pPr>
      <w:r>
        <w:rPr>
          <w:rFonts w:ascii="Calibri" w:hAnsi="Calibri" w:cs="Tahoma"/>
          <w:szCs w:val="28"/>
        </w:rPr>
        <w:tab/>
      </w:r>
      <w:r>
        <w:rPr>
          <w:rFonts w:ascii="Calibri" w:hAnsi="Calibri" w:cs="Tahoma"/>
          <w:szCs w:val="28"/>
        </w:rPr>
        <w:tab/>
      </w:r>
      <w:r>
        <w:rPr>
          <w:rFonts w:ascii="Calibri" w:hAnsi="Calibri" w:cs="Tahoma"/>
          <w:szCs w:val="28"/>
        </w:rPr>
        <w:tab/>
      </w:r>
      <w:r>
        <w:rPr>
          <w:rFonts w:ascii="Calibri" w:hAnsi="Calibri" w:cs="Tahoma"/>
          <w:szCs w:val="28"/>
        </w:rPr>
        <w:tab/>
      </w:r>
      <w:r>
        <w:rPr>
          <w:rFonts w:ascii="Calibri" w:hAnsi="Calibri" w:cs="Tahoma"/>
          <w:szCs w:val="28"/>
        </w:rPr>
        <w:tab/>
      </w:r>
      <w:r w:rsidR="00FB3408">
        <w:rPr>
          <w:rFonts w:ascii="Calibri" w:hAnsi="Calibri" w:cs="Tahoma"/>
          <w:szCs w:val="28"/>
        </w:rPr>
        <w:tab/>
      </w:r>
      <w:r w:rsidR="00FB3408">
        <w:rPr>
          <w:rFonts w:ascii="Calibri" w:hAnsi="Calibri" w:cs="Tahoma"/>
          <w:szCs w:val="28"/>
        </w:rPr>
        <w:tab/>
      </w:r>
      <w:r w:rsidR="00FB3408">
        <w:rPr>
          <w:rFonts w:ascii="Calibri" w:hAnsi="Calibri" w:cs="Tahoma"/>
          <w:szCs w:val="28"/>
        </w:rPr>
        <w:tab/>
      </w:r>
      <w:r w:rsidR="00FB3408">
        <w:rPr>
          <w:rFonts w:ascii="Calibri" w:hAnsi="Calibri" w:cs="Tahoma"/>
          <w:szCs w:val="28"/>
        </w:rPr>
        <w:tab/>
      </w:r>
      <w:r w:rsidR="00FB3408">
        <w:rPr>
          <w:rFonts w:ascii="Calibri" w:hAnsi="Calibri" w:cs="Tahoma"/>
          <w:szCs w:val="28"/>
        </w:rPr>
        <w:tab/>
      </w:r>
      <w:r w:rsidR="00FB3408">
        <w:rPr>
          <w:rFonts w:ascii="Calibri" w:hAnsi="Calibri" w:cs="Tahoma"/>
          <w:szCs w:val="28"/>
        </w:rPr>
        <w:tab/>
      </w:r>
      <w:r w:rsidR="00FB3408">
        <w:rPr>
          <w:rFonts w:ascii="Calibri" w:hAnsi="Calibri" w:cs="Tahoma"/>
          <w:szCs w:val="28"/>
        </w:rPr>
        <w:tab/>
      </w:r>
      <w:r w:rsidR="00BE064A" w:rsidRPr="00BE064A">
        <w:rPr>
          <w:rFonts w:ascii="Arial" w:hAnsi="Arial" w:cs="Arial"/>
          <w:sz w:val="20"/>
        </w:rPr>
        <w:t xml:space="preserve"> </w:t>
      </w:r>
    </w:p>
    <w:p w:rsidR="00195159" w:rsidRPr="0098324C" w:rsidRDefault="00BE064A" w:rsidP="00BE064A">
      <w:pPr>
        <w:pStyle w:val="Nzev"/>
        <w:spacing w:before="0"/>
        <w:ind w:left="0"/>
        <w:rPr>
          <w:rFonts w:ascii="Arial" w:hAnsi="Arial" w:cs="Arial"/>
          <w:sz w:val="20"/>
        </w:rPr>
      </w:pPr>
      <w:r w:rsidRPr="0098324C">
        <w:rPr>
          <w:rFonts w:ascii="Arial" w:hAnsi="Arial" w:cs="Arial"/>
          <w:sz w:val="20"/>
        </w:rPr>
        <w:t xml:space="preserve"> </w:t>
      </w:r>
      <w:r w:rsidRPr="0098324C">
        <w:rPr>
          <w:rFonts w:ascii="Arial" w:hAnsi="Arial" w:cs="Arial"/>
          <w:sz w:val="20"/>
        </w:rPr>
        <w:tab/>
      </w:r>
      <w:r w:rsidRPr="0098324C">
        <w:rPr>
          <w:rFonts w:ascii="Arial" w:hAnsi="Arial" w:cs="Arial"/>
          <w:sz w:val="20"/>
        </w:rPr>
        <w:tab/>
      </w:r>
      <w:r w:rsidRPr="0098324C">
        <w:rPr>
          <w:rFonts w:ascii="Arial" w:hAnsi="Arial" w:cs="Arial"/>
          <w:sz w:val="20"/>
        </w:rPr>
        <w:tab/>
      </w:r>
      <w:r w:rsidRPr="0098324C">
        <w:rPr>
          <w:rFonts w:ascii="Arial" w:hAnsi="Arial" w:cs="Arial"/>
          <w:sz w:val="20"/>
        </w:rPr>
        <w:tab/>
      </w:r>
      <w:r w:rsidRPr="0098324C">
        <w:rPr>
          <w:rFonts w:ascii="Arial" w:hAnsi="Arial" w:cs="Arial"/>
          <w:sz w:val="20"/>
        </w:rPr>
        <w:tab/>
      </w:r>
      <w:r w:rsidRPr="0098324C">
        <w:rPr>
          <w:rFonts w:ascii="Arial" w:hAnsi="Arial" w:cs="Arial"/>
          <w:sz w:val="20"/>
        </w:rPr>
        <w:tab/>
      </w:r>
      <w:r w:rsidRPr="0098324C">
        <w:rPr>
          <w:rFonts w:ascii="Arial" w:hAnsi="Arial" w:cs="Arial"/>
          <w:sz w:val="20"/>
        </w:rPr>
        <w:tab/>
      </w:r>
      <w:r w:rsidRPr="0098324C">
        <w:rPr>
          <w:rFonts w:ascii="Arial" w:hAnsi="Arial" w:cs="Arial"/>
          <w:sz w:val="20"/>
        </w:rPr>
        <w:tab/>
      </w:r>
      <w:r w:rsidRPr="0098324C">
        <w:rPr>
          <w:rFonts w:ascii="Arial" w:hAnsi="Arial" w:cs="Arial"/>
          <w:sz w:val="20"/>
        </w:rPr>
        <w:tab/>
      </w:r>
      <w:r w:rsidRPr="0098324C">
        <w:rPr>
          <w:rFonts w:ascii="Arial" w:hAnsi="Arial" w:cs="Arial"/>
          <w:sz w:val="20"/>
        </w:rPr>
        <w:tab/>
      </w:r>
      <w:r w:rsidRPr="0098324C">
        <w:rPr>
          <w:rFonts w:ascii="Arial" w:hAnsi="Arial" w:cs="Arial"/>
          <w:sz w:val="20"/>
        </w:rPr>
        <w:tab/>
      </w:r>
      <w:r w:rsidRPr="0098324C">
        <w:rPr>
          <w:rFonts w:ascii="Arial" w:hAnsi="Arial" w:cs="Arial"/>
          <w:sz w:val="20"/>
        </w:rPr>
        <w:tab/>
      </w:r>
      <w:r w:rsidRPr="0098324C">
        <w:rPr>
          <w:rFonts w:ascii="Arial" w:hAnsi="Arial" w:cs="Arial"/>
          <w:sz w:val="20"/>
        </w:rPr>
        <w:tab/>
      </w:r>
      <w:r w:rsidRPr="0098324C">
        <w:rPr>
          <w:rFonts w:ascii="Arial" w:hAnsi="Arial" w:cs="Arial"/>
          <w:sz w:val="20"/>
        </w:rPr>
        <w:tab/>
      </w:r>
      <w:r w:rsidRPr="0098324C">
        <w:rPr>
          <w:rFonts w:ascii="Arial" w:hAnsi="Arial" w:cs="Arial"/>
          <w:sz w:val="20"/>
        </w:rPr>
        <w:tab/>
      </w:r>
      <w:r w:rsidR="003A3213">
        <w:rPr>
          <w:rFonts w:ascii="Arial" w:hAnsi="Arial" w:cs="Arial"/>
          <w:sz w:val="20"/>
        </w:rPr>
        <w:tab/>
      </w:r>
    </w:p>
    <w:p w:rsidR="006F5D36" w:rsidRPr="00AB3ADB" w:rsidRDefault="006F5D36" w:rsidP="006F5D36">
      <w:pPr>
        <w:pBdr>
          <w:bottom w:val="single" w:sz="4" w:space="1" w:color="auto"/>
        </w:pBdr>
        <w:jc w:val="center"/>
        <w:rPr>
          <w:rFonts w:cs="Arial"/>
          <w:b/>
          <w:sz w:val="32"/>
          <w:szCs w:val="32"/>
          <w:lang w:eastAsia="ar-SA"/>
        </w:rPr>
      </w:pPr>
      <w:r w:rsidRPr="00AB3ADB">
        <w:rPr>
          <w:rFonts w:cs="Arial"/>
          <w:b/>
          <w:sz w:val="32"/>
          <w:szCs w:val="32"/>
          <w:lang w:eastAsia="ar-SA"/>
        </w:rPr>
        <w:t xml:space="preserve">N Á J E M N Í    S M L O U V A  č. </w:t>
      </w:r>
      <w:r w:rsidR="003877EB" w:rsidRPr="003877EB">
        <w:rPr>
          <w:rFonts w:cs="Arial"/>
          <w:b/>
          <w:sz w:val="32"/>
          <w:szCs w:val="32"/>
          <w:lang w:eastAsia="ar-SA"/>
        </w:rPr>
        <w:t>2627504723</w:t>
      </w:r>
    </w:p>
    <w:p w:rsidR="00BE43D0" w:rsidRPr="006F5D36" w:rsidRDefault="006F5D36" w:rsidP="006F5D36">
      <w:pPr>
        <w:pBdr>
          <w:bottom w:val="single" w:sz="4" w:space="1" w:color="auto"/>
        </w:pBdr>
        <w:spacing w:after="120"/>
        <w:jc w:val="center"/>
        <w:rPr>
          <w:rFonts w:ascii="Calibri" w:hAnsi="Calibri"/>
          <w:b/>
          <w:sz w:val="18"/>
          <w:szCs w:val="18"/>
        </w:rPr>
      </w:pPr>
      <w:r>
        <w:rPr>
          <w:rFonts w:cs="Arial"/>
          <w:sz w:val="18"/>
          <w:szCs w:val="18"/>
          <w:lang w:eastAsia="ar-SA"/>
        </w:rPr>
        <w:t>o nájmu pozemku</w:t>
      </w:r>
    </w:p>
    <w:tbl>
      <w:tblPr>
        <w:tblW w:w="9993" w:type="dxa"/>
        <w:tblLayout w:type="fixed"/>
        <w:tblCellMar>
          <w:left w:w="70" w:type="dxa"/>
          <w:right w:w="70" w:type="dxa"/>
        </w:tblCellMar>
        <w:tblLook w:val="0000" w:firstRow="0" w:lastRow="0" w:firstColumn="0" w:lastColumn="0" w:noHBand="0" w:noVBand="0"/>
      </w:tblPr>
      <w:tblGrid>
        <w:gridCol w:w="2622"/>
        <w:gridCol w:w="7371"/>
      </w:tblGrid>
      <w:tr w:rsidR="00BE43D0" w:rsidRPr="009924AA" w:rsidTr="000B303F">
        <w:tc>
          <w:tcPr>
            <w:tcW w:w="2622" w:type="dxa"/>
          </w:tcPr>
          <w:p w:rsidR="00BE43D0" w:rsidRDefault="00BE43D0" w:rsidP="000B303F">
            <w:pPr>
              <w:snapToGrid w:val="0"/>
              <w:rPr>
                <w:rFonts w:cs="Arial"/>
                <w:b/>
                <w:sz w:val="20"/>
                <w:lang w:eastAsia="ar-SA"/>
              </w:rPr>
            </w:pPr>
          </w:p>
          <w:p w:rsidR="00BE43D0" w:rsidRPr="009924AA" w:rsidRDefault="00BE43D0" w:rsidP="000B303F">
            <w:pPr>
              <w:snapToGrid w:val="0"/>
              <w:rPr>
                <w:rFonts w:cs="Arial"/>
                <w:b/>
                <w:sz w:val="20"/>
                <w:lang w:eastAsia="ar-SA"/>
              </w:rPr>
            </w:pPr>
            <w:r w:rsidRPr="009924AA">
              <w:rPr>
                <w:rFonts w:cs="Arial"/>
                <w:b/>
                <w:sz w:val="20"/>
                <w:lang w:eastAsia="ar-SA"/>
              </w:rPr>
              <w:t>Obchodní firma:</w:t>
            </w:r>
          </w:p>
        </w:tc>
        <w:tc>
          <w:tcPr>
            <w:tcW w:w="7371" w:type="dxa"/>
          </w:tcPr>
          <w:p w:rsidR="00BE43D0" w:rsidRDefault="00BE43D0" w:rsidP="000B303F">
            <w:pPr>
              <w:snapToGrid w:val="0"/>
              <w:rPr>
                <w:rFonts w:cs="Arial"/>
                <w:b/>
                <w:sz w:val="20"/>
                <w:lang w:eastAsia="ar-SA"/>
              </w:rPr>
            </w:pPr>
          </w:p>
          <w:p w:rsidR="00BE43D0" w:rsidRPr="009924AA" w:rsidRDefault="00BE43D0" w:rsidP="000B303F">
            <w:pPr>
              <w:snapToGrid w:val="0"/>
              <w:rPr>
                <w:rFonts w:cs="Arial"/>
                <w:b/>
                <w:sz w:val="20"/>
                <w:lang w:eastAsia="ar-SA"/>
              </w:rPr>
            </w:pPr>
            <w:r w:rsidRPr="009924AA">
              <w:rPr>
                <w:rFonts w:cs="Arial"/>
                <w:b/>
                <w:sz w:val="20"/>
                <w:lang w:eastAsia="ar-SA"/>
              </w:rPr>
              <w:t>České dráhy, a.s.</w:t>
            </w:r>
          </w:p>
        </w:tc>
      </w:tr>
      <w:tr w:rsidR="00BE43D0" w:rsidRPr="009924AA" w:rsidTr="000B303F">
        <w:tc>
          <w:tcPr>
            <w:tcW w:w="2622" w:type="dxa"/>
          </w:tcPr>
          <w:p w:rsidR="00BE43D0" w:rsidRPr="009924AA" w:rsidRDefault="00BE43D0" w:rsidP="000B303F">
            <w:pPr>
              <w:snapToGrid w:val="0"/>
              <w:rPr>
                <w:rFonts w:cs="Arial"/>
                <w:sz w:val="20"/>
                <w:lang w:eastAsia="ar-SA"/>
              </w:rPr>
            </w:pPr>
            <w:r w:rsidRPr="009924AA">
              <w:rPr>
                <w:rFonts w:cs="Arial"/>
                <w:sz w:val="20"/>
                <w:lang w:eastAsia="ar-SA"/>
              </w:rPr>
              <w:t>sídlo:</w:t>
            </w:r>
          </w:p>
        </w:tc>
        <w:tc>
          <w:tcPr>
            <w:tcW w:w="7371" w:type="dxa"/>
          </w:tcPr>
          <w:p w:rsidR="00BE43D0" w:rsidRPr="009924AA" w:rsidRDefault="00BE43D0" w:rsidP="000B303F">
            <w:pPr>
              <w:snapToGrid w:val="0"/>
              <w:rPr>
                <w:rFonts w:cs="Arial"/>
                <w:sz w:val="20"/>
                <w:lang w:eastAsia="ar-SA"/>
              </w:rPr>
            </w:pPr>
            <w:r w:rsidRPr="009924AA">
              <w:rPr>
                <w:rFonts w:cs="Arial"/>
                <w:sz w:val="20"/>
                <w:lang w:eastAsia="ar-SA"/>
              </w:rPr>
              <w:t>Praha 1, Nábřeží L. Svobody 1222, PSČ 110 15</w:t>
            </w:r>
          </w:p>
        </w:tc>
      </w:tr>
      <w:tr w:rsidR="00BE43D0" w:rsidRPr="009924AA" w:rsidTr="000B303F">
        <w:tc>
          <w:tcPr>
            <w:tcW w:w="9993" w:type="dxa"/>
            <w:gridSpan w:val="2"/>
          </w:tcPr>
          <w:p w:rsidR="00BE43D0" w:rsidRPr="009924AA" w:rsidRDefault="00BE43D0" w:rsidP="000B303F">
            <w:pPr>
              <w:snapToGrid w:val="0"/>
              <w:jc w:val="left"/>
              <w:rPr>
                <w:rFonts w:cs="Arial"/>
                <w:sz w:val="20"/>
                <w:lang w:eastAsia="ar-SA"/>
              </w:rPr>
            </w:pPr>
            <w:r w:rsidRPr="009924AA">
              <w:rPr>
                <w:rFonts w:cs="Arial"/>
                <w:sz w:val="20"/>
                <w:lang w:eastAsia="ar-SA"/>
              </w:rPr>
              <w:t xml:space="preserve">zapsaná ve veřejném rejstříku - obchodním rejstříku vedeném Městským soudem v Praze, sp.zn. B 8039 </w:t>
            </w:r>
          </w:p>
        </w:tc>
      </w:tr>
      <w:tr w:rsidR="00BE43D0" w:rsidRPr="009924AA" w:rsidTr="000B303F">
        <w:tc>
          <w:tcPr>
            <w:tcW w:w="2622" w:type="dxa"/>
          </w:tcPr>
          <w:p w:rsidR="00BE43D0" w:rsidRPr="009924AA" w:rsidRDefault="00BE43D0" w:rsidP="000B303F">
            <w:pPr>
              <w:snapToGrid w:val="0"/>
              <w:jc w:val="left"/>
              <w:rPr>
                <w:rFonts w:cs="Arial"/>
                <w:sz w:val="20"/>
                <w:lang w:eastAsia="ar-SA"/>
              </w:rPr>
            </w:pPr>
            <w:r w:rsidRPr="009924AA">
              <w:rPr>
                <w:rFonts w:cs="Arial"/>
                <w:sz w:val="20"/>
                <w:lang w:eastAsia="ar-SA"/>
              </w:rPr>
              <w:t>zastoupena ve věcech smluvních:</w:t>
            </w:r>
          </w:p>
        </w:tc>
        <w:tc>
          <w:tcPr>
            <w:tcW w:w="7371" w:type="dxa"/>
          </w:tcPr>
          <w:p w:rsidR="00BE43D0" w:rsidRPr="009924AA" w:rsidRDefault="006F5D36" w:rsidP="006F5D36">
            <w:pPr>
              <w:snapToGrid w:val="0"/>
              <w:rPr>
                <w:rFonts w:cs="Arial"/>
                <w:sz w:val="20"/>
                <w:lang w:eastAsia="ar-SA"/>
              </w:rPr>
            </w:pPr>
            <w:r>
              <w:rPr>
                <w:rFonts w:cs="Arial"/>
                <w:sz w:val="20"/>
                <w:lang w:eastAsia="ar-SA"/>
              </w:rPr>
              <w:t>Mgr. Martin Špinka. MBA</w:t>
            </w:r>
            <w:r w:rsidR="00BE43D0" w:rsidRPr="009924AA">
              <w:rPr>
                <w:rFonts w:cs="Arial"/>
                <w:sz w:val="20"/>
                <w:lang w:eastAsia="ar-SA"/>
              </w:rPr>
              <w:t xml:space="preserve">, ředitel </w:t>
            </w:r>
            <w:r w:rsidR="00BE43D0">
              <w:rPr>
                <w:rFonts w:cs="Arial"/>
                <w:sz w:val="20"/>
                <w:lang w:eastAsia="ar-SA"/>
              </w:rPr>
              <w:t>Regionální správy</w:t>
            </w:r>
            <w:r w:rsidR="00BE43D0" w:rsidRPr="009924AA">
              <w:rPr>
                <w:rFonts w:cs="Arial"/>
                <w:sz w:val="20"/>
                <w:lang w:eastAsia="ar-SA"/>
              </w:rPr>
              <w:t xml:space="preserve"> majetku Brno</w:t>
            </w:r>
          </w:p>
        </w:tc>
      </w:tr>
      <w:tr w:rsidR="00BE43D0" w:rsidRPr="009924AA" w:rsidTr="000B303F">
        <w:tc>
          <w:tcPr>
            <w:tcW w:w="2622" w:type="dxa"/>
          </w:tcPr>
          <w:p w:rsidR="00BE43D0" w:rsidRPr="009924AA" w:rsidRDefault="00BE43D0" w:rsidP="000B303F">
            <w:pPr>
              <w:snapToGrid w:val="0"/>
              <w:jc w:val="left"/>
              <w:rPr>
                <w:rFonts w:cs="Arial"/>
                <w:sz w:val="20"/>
                <w:lang w:eastAsia="ar-SA"/>
              </w:rPr>
            </w:pPr>
            <w:r w:rsidRPr="009924AA">
              <w:rPr>
                <w:rFonts w:cs="Arial"/>
                <w:sz w:val="20"/>
                <w:lang w:eastAsia="ar-SA"/>
              </w:rPr>
              <w:t>adresa pro doručování písemnosti</w:t>
            </w:r>
          </w:p>
          <w:p w:rsidR="00BE43D0" w:rsidRPr="009924AA" w:rsidRDefault="00BE43D0" w:rsidP="000B303F">
            <w:pPr>
              <w:snapToGrid w:val="0"/>
              <w:jc w:val="left"/>
              <w:rPr>
                <w:rFonts w:cs="Arial"/>
                <w:sz w:val="20"/>
                <w:lang w:eastAsia="ar-SA"/>
              </w:rPr>
            </w:pPr>
            <w:r w:rsidRPr="009924AA">
              <w:rPr>
                <w:rFonts w:cs="Arial"/>
                <w:sz w:val="20"/>
                <w:lang w:eastAsia="ar-SA"/>
              </w:rPr>
              <w:t>kontaktní osoba ve věcech smluvních</w:t>
            </w:r>
          </w:p>
        </w:tc>
        <w:tc>
          <w:tcPr>
            <w:tcW w:w="7371" w:type="dxa"/>
          </w:tcPr>
          <w:p w:rsidR="00BE43D0" w:rsidRPr="009924AA" w:rsidRDefault="00BE43D0" w:rsidP="000B303F">
            <w:pPr>
              <w:snapToGrid w:val="0"/>
              <w:ind w:right="72"/>
              <w:rPr>
                <w:rFonts w:cs="Arial"/>
                <w:sz w:val="20"/>
                <w:lang w:eastAsia="ar-SA"/>
              </w:rPr>
            </w:pPr>
            <w:r w:rsidRPr="009924AA">
              <w:rPr>
                <w:rFonts w:cs="Arial"/>
                <w:sz w:val="20"/>
                <w:lang w:eastAsia="ar-SA"/>
              </w:rPr>
              <w:t xml:space="preserve">České dráhy, a.s. Regionální správa majetku Brno, </w:t>
            </w:r>
            <w:r w:rsidR="006F5D36">
              <w:rPr>
                <w:rFonts w:cs="Arial"/>
                <w:sz w:val="20"/>
                <w:lang w:eastAsia="ar-SA"/>
              </w:rPr>
              <w:t>Vídeňská 815/89a</w:t>
            </w:r>
            <w:r w:rsidRPr="009924AA">
              <w:rPr>
                <w:rFonts w:cs="Arial"/>
                <w:sz w:val="20"/>
                <w:lang w:eastAsia="ar-SA"/>
              </w:rPr>
              <w:t xml:space="preserve">, </w:t>
            </w:r>
          </w:p>
          <w:p w:rsidR="00BE43D0" w:rsidRPr="009924AA" w:rsidRDefault="006F5D36" w:rsidP="000B303F">
            <w:pPr>
              <w:snapToGrid w:val="0"/>
              <w:ind w:right="72"/>
              <w:rPr>
                <w:rFonts w:cs="Arial"/>
                <w:sz w:val="20"/>
                <w:lang w:eastAsia="ar-SA"/>
              </w:rPr>
            </w:pPr>
            <w:r>
              <w:rPr>
                <w:rFonts w:cs="Arial"/>
                <w:sz w:val="20"/>
                <w:lang w:eastAsia="ar-SA"/>
              </w:rPr>
              <w:t xml:space="preserve">639 00 </w:t>
            </w:r>
            <w:r w:rsidR="00BE43D0" w:rsidRPr="009924AA">
              <w:rPr>
                <w:rFonts w:cs="Arial"/>
                <w:sz w:val="20"/>
                <w:lang w:eastAsia="ar-SA"/>
              </w:rPr>
              <w:t>Brno</w:t>
            </w:r>
            <w:r>
              <w:rPr>
                <w:rFonts w:cs="Arial"/>
                <w:sz w:val="20"/>
                <w:lang w:eastAsia="ar-SA"/>
              </w:rPr>
              <w:t xml:space="preserve"> střed - Štýřice</w:t>
            </w:r>
          </w:p>
          <w:p w:rsidR="00BE43D0" w:rsidRPr="009924AA" w:rsidRDefault="00426588" w:rsidP="000B303F">
            <w:pPr>
              <w:snapToGrid w:val="0"/>
              <w:ind w:right="72"/>
              <w:rPr>
                <w:rFonts w:cs="Arial"/>
                <w:sz w:val="20"/>
                <w:lang w:eastAsia="ar-SA"/>
              </w:rPr>
            </w:pPr>
            <w:r>
              <w:rPr>
                <w:rFonts w:cs="Arial"/>
                <w:sz w:val="20"/>
                <w:lang w:eastAsia="ar-SA"/>
              </w:rPr>
              <w:t>Michaela Mikulová</w:t>
            </w:r>
          </w:p>
          <w:p w:rsidR="00BE43D0" w:rsidRPr="009924AA" w:rsidRDefault="00BE43D0" w:rsidP="00426588">
            <w:pPr>
              <w:snapToGrid w:val="0"/>
              <w:ind w:right="72"/>
              <w:rPr>
                <w:rFonts w:cs="Arial"/>
                <w:sz w:val="20"/>
                <w:lang w:eastAsia="ar-SA"/>
              </w:rPr>
            </w:pPr>
            <w:r>
              <w:rPr>
                <w:rFonts w:cs="Arial"/>
                <w:sz w:val="20"/>
                <w:lang w:eastAsia="ar-SA"/>
              </w:rPr>
              <w:t xml:space="preserve">E: </w:t>
            </w:r>
            <w:r w:rsidR="00426588">
              <w:rPr>
                <w:rFonts w:cs="Arial"/>
                <w:sz w:val="20"/>
                <w:lang w:eastAsia="ar-SA"/>
              </w:rPr>
              <w:t>mikulova</w:t>
            </w:r>
            <w:r w:rsidR="000E28F7" w:rsidRPr="000E28F7">
              <w:rPr>
                <w:rFonts w:cs="Arial"/>
                <w:sz w:val="20"/>
                <w:lang w:eastAsia="ar-SA"/>
              </w:rPr>
              <w:t>@rsm.cd.cz</w:t>
            </w:r>
            <w:r w:rsidR="000E28F7">
              <w:rPr>
                <w:rFonts w:cs="Arial"/>
                <w:sz w:val="20"/>
                <w:lang w:eastAsia="ar-SA"/>
              </w:rPr>
              <w:t>, M: + 420 702 272 047</w:t>
            </w:r>
          </w:p>
        </w:tc>
      </w:tr>
      <w:tr w:rsidR="00BE43D0" w:rsidRPr="009924AA" w:rsidTr="000B303F">
        <w:tc>
          <w:tcPr>
            <w:tcW w:w="2622" w:type="dxa"/>
          </w:tcPr>
          <w:p w:rsidR="00BE43D0" w:rsidRPr="009924AA" w:rsidRDefault="00BE43D0" w:rsidP="000B303F">
            <w:pPr>
              <w:snapToGrid w:val="0"/>
              <w:jc w:val="left"/>
              <w:rPr>
                <w:rFonts w:cs="Arial"/>
                <w:sz w:val="20"/>
                <w:lang w:eastAsia="ar-SA"/>
              </w:rPr>
            </w:pPr>
            <w:r w:rsidRPr="009924AA">
              <w:rPr>
                <w:rFonts w:cs="Arial"/>
                <w:sz w:val="20"/>
                <w:lang w:eastAsia="ar-SA"/>
              </w:rPr>
              <w:t>kontaktní osoba ve věcech technických</w:t>
            </w:r>
          </w:p>
        </w:tc>
        <w:tc>
          <w:tcPr>
            <w:tcW w:w="7371" w:type="dxa"/>
          </w:tcPr>
          <w:p w:rsidR="006F5D36" w:rsidRDefault="006F5D36" w:rsidP="00FB3408">
            <w:pPr>
              <w:snapToGrid w:val="0"/>
              <w:rPr>
                <w:rFonts w:cs="Arial"/>
                <w:sz w:val="20"/>
              </w:rPr>
            </w:pPr>
            <w:r>
              <w:rPr>
                <w:rFonts w:cs="Arial"/>
                <w:sz w:val="20"/>
              </w:rPr>
              <w:t xml:space="preserve">Bc. Jaromír Navrátil </w:t>
            </w:r>
          </w:p>
          <w:p w:rsidR="00BE43D0" w:rsidRPr="009924AA" w:rsidRDefault="000E28F7" w:rsidP="006F5D36">
            <w:pPr>
              <w:snapToGrid w:val="0"/>
              <w:rPr>
                <w:rFonts w:cs="Arial"/>
                <w:sz w:val="20"/>
              </w:rPr>
            </w:pPr>
            <w:r w:rsidRPr="009924AA">
              <w:rPr>
                <w:rFonts w:cs="Arial"/>
                <w:sz w:val="20"/>
              </w:rPr>
              <w:t xml:space="preserve">E: </w:t>
            </w:r>
            <w:r w:rsidR="006F5D36">
              <w:rPr>
                <w:rFonts w:cs="Arial"/>
                <w:sz w:val="20"/>
              </w:rPr>
              <w:t>navratil</w:t>
            </w:r>
            <w:r w:rsidRPr="009924AA">
              <w:rPr>
                <w:rFonts w:cs="Arial"/>
                <w:sz w:val="20"/>
              </w:rPr>
              <w:t>@rsm.cd.cz</w:t>
            </w:r>
            <w:r>
              <w:rPr>
                <w:rFonts w:cs="Arial"/>
                <w:sz w:val="20"/>
              </w:rPr>
              <w:t>,</w:t>
            </w:r>
            <w:r w:rsidRPr="009924AA">
              <w:rPr>
                <w:rFonts w:cs="Arial"/>
                <w:sz w:val="20"/>
              </w:rPr>
              <w:t xml:space="preserve"> </w:t>
            </w:r>
            <w:r>
              <w:rPr>
                <w:rFonts w:cs="Arial"/>
                <w:sz w:val="20"/>
              </w:rPr>
              <w:t>M: +420</w:t>
            </w:r>
            <w:r w:rsidR="006F5D36">
              <w:rPr>
                <w:rFonts w:cs="Arial"/>
                <w:sz w:val="20"/>
              </w:rPr>
              <w:t> 725 939 008</w:t>
            </w:r>
            <w:r w:rsidR="006F5D36" w:rsidRPr="0004453E">
              <w:rPr>
                <w:rFonts w:cs="Arial"/>
                <w:sz w:val="20"/>
              </w:rPr>
              <w:t xml:space="preserve"> </w:t>
            </w:r>
            <w:r w:rsidR="00BE43D0" w:rsidRPr="009924AA">
              <w:rPr>
                <w:rFonts w:cs="Arial"/>
                <w:sz w:val="20"/>
              </w:rPr>
              <w:t xml:space="preserve"> </w:t>
            </w:r>
          </w:p>
        </w:tc>
      </w:tr>
      <w:tr w:rsidR="00BE43D0" w:rsidRPr="009924AA" w:rsidTr="000B303F">
        <w:tc>
          <w:tcPr>
            <w:tcW w:w="2622" w:type="dxa"/>
          </w:tcPr>
          <w:p w:rsidR="00BE43D0" w:rsidRPr="009924AA" w:rsidRDefault="00BE43D0" w:rsidP="000B303F">
            <w:pPr>
              <w:snapToGrid w:val="0"/>
              <w:rPr>
                <w:rFonts w:cs="Arial"/>
                <w:sz w:val="20"/>
                <w:lang w:eastAsia="ar-SA"/>
              </w:rPr>
            </w:pPr>
            <w:r w:rsidRPr="009924AA">
              <w:rPr>
                <w:rFonts w:cs="Arial"/>
                <w:sz w:val="20"/>
                <w:lang w:eastAsia="ar-SA"/>
              </w:rPr>
              <w:t>IČ:</w:t>
            </w:r>
          </w:p>
        </w:tc>
        <w:tc>
          <w:tcPr>
            <w:tcW w:w="7371" w:type="dxa"/>
          </w:tcPr>
          <w:p w:rsidR="00BE43D0" w:rsidRPr="009924AA" w:rsidRDefault="00BE43D0" w:rsidP="000B303F">
            <w:pPr>
              <w:snapToGrid w:val="0"/>
              <w:rPr>
                <w:rFonts w:cs="Arial"/>
                <w:sz w:val="20"/>
                <w:lang w:eastAsia="ar-SA"/>
              </w:rPr>
            </w:pPr>
            <w:r w:rsidRPr="009924AA">
              <w:rPr>
                <w:rFonts w:cs="Arial"/>
                <w:sz w:val="20"/>
                <w:lang w:eastAsia="ar-SA"/>
              </w:rPr>
              <w:t>70994226</w:t>
            </w:r>
          </w:p>
        </w:tc>
      </w:tr>
      <w:tr w:rsidR="00BE43D0" w:rsidRPr="009924AA" w:rsidTr="000B303F">
        <w:tc>
          <w:tcPr>
            <w:tcW w:w="2622" w:type="dxa"/>
          </w:tcPr>
          <w:p w:rsidR="00BE43D0" w:rsidRPr="009924AA" w:rsidRDefault="00BE43D0" w:rsidP="000B303F">
            <w:pPr>
              <w:snapToGrid w:val="0"/>
              <w:rPr>
                <w:rFonts w:cs="Arial"/>
                <w:sz w:val="20"/>
                <w:lang w:eastAsia="ar-SA"/>
              </w:rPr>
            </w:pPr>
            <w:r w:rsidRPr="009924AA">
              <w:rPr>
                <w:rFonts w:cs="Arial"/>
                <w:sz w:val="20"/>
                <w:lang w:eastAsia="ar-SA"/>
              </w:rPr>
              <w:t>DIČ:</w:t>
            </w:r>
          </w:p>
        </w:tc>
        <w:tc>
          <w:tcPr>
            <w:tcW w:w="7371" w:type="dxa"/>
          </w:tcPr>
          <w:p w:rsidR="00BE43D0" w:rsidRPr="009924AA" w:rsidRDefault="00BE43D0" w:rsidP="000B303F">
            <w:pPr>
              <w:snapToGrid w:val="0"/>
              <w:rPr>
                <w:rFonts w:cs="Arial"/>
                <w:sz w:val="20"/>
                <w:lang w:eastAsia="ar-SA"/>
              </w:rPr>
            </w:pPr>
            <w:r w:rsidRPr="009924AA">
              <w:rPr>
                <w:rFonts w:cs="Arial"/>
                <w:sz w:val="20"/>
                <w:lang w:eastAsia="ar-SA"/>
              </w:rPr>
              <w:t>CZ70994226</w:t>
            </w:r>
          </w:p>
        </w:tc>
      </w:tr>
      <w:tr w:rsidR="00BE43D0" w:rsidRPr="009924AA" w:rsidTr="000B303F">
        <w:tc>
          <w:tcPr>
            <w:tcW w:w="2622" w:type="dxa"/>
          </w:tcPr>
          <w:p w:rsidR="00BE43D0" w:rsidRPr="009924AA" w:rsidRDefault="00BE43D0" w:rsidP="000B303F">
            <w:pPr>
              <w:snapToGrid w:val="0"/>
              <w:rPr>
                <w:rFonts w:cs="Arial"/>
                <w:sz w:val="20"/>
                <w:lang w:eastAsia="ar-SA"/>
              </w:rPr>
            </w:pPr>
            <w:r w:rsidRPr="009924AA">
              <w:rPr>
                <w:rFonts w:cs="Arial"/>
                <w:sz w:val="20"/>
                <w:lang w:eastAsia="ar-SA"/>
              </w:rPr>
              <w:t>bankovní spojení:</w:t>
            </w:r>
          </w:p>
        </w:tc>
        <w:tc>
          <w:tcPr>
            <w:tcW w:w="7371" w:type="dxa"/>
          </w:tcPr>
          <w:p w:rsidR="00BE43D0" w:rsidRPr="009924AA" w:rsidRDefault="00BE43D0" w:rsidP="000B303F">
            <w:pPr>
              <w:snapToGrid w:val="0"/>
              <w:rPr>
                <w:rFonts w:cs="Arial"/>
                <w:sz w:val="20"/>
                <w:lang w:eastAsia="ar-SA"/>
              </w:rPr>
            </w:pPr>
            <w:r w:rsidRPr="009924AA">
              <w:rPr>
                <w:rFonts w:cs="Arial"/>
                <w:sz w:val="20"/>
                <w:lang w:eastAsia="ar-SA"/>
              </w:rPr>
              <w:t xml:space="preserve">Komerční banka, a.s., pobočka Brno </w:t>
            </w:r>
          </w:p>
        </w:tc>
      </w:tr>
      <w:tr w:rsidR="00BE43D0" w:rsidRPr="009924AA" w:rsidTr="000B303F">
        <w:tc>
          <w:tcPr>
            <w:tcW w:w="2622" w:type="dxa"/>
          </w:tcPr>
          <w:p w:rsidR="00D134AB" w:rsidRPr="009924AA" w:rsidRDefault="00BE43D0" w:rsidP="000B303F">
            <w:pPr>
              <w:snapToGrid w:val="0"/>
              <w:rPr>
                <w:rFonts w:cs="Arial"/>
                <w:b/>
                <w:sz w:val="20"/>
                <w:lang w:eastAsia="ar-SA"/>
              </w:rPr>
            </w:pPr>
            <w:r w:rsidRPr="009924AA">
              <w:rPr>
                <w:rFonts w:cs="Arial"/>
                <w:b/>
                <w:sz w:val="20"/>
                <w:lang w:eastAsia="ar-SA"/>
              </w:rPr>
              <w:t>číslo účtu:</w:t>
            </w:r>
          </w:p>
        </w:tc>
        <w:tc>
          <w:tcPr>
            <w:tcW w:w="7371" w:type="dxa"/>
          </w:tcPr>
          <w:p w:rsidR="00D134AB" w:rsidRPr="009924AA" w:rsidRDefault="00BE43D0" w:rsidP="000B303F">
            <w:pPr>
              <w:snapToGrid w:val="0"/>
              <w:rPr>
                <w:rFonts w:cs="Arial"/>
                <w:b/>
                <w:sz w:val="20"/>
                <w:lang w:eastAsia="ar-SA"/>
              </w:rPr>
            </w:pPr>
            <w:r w:rsidRPr="009924AA">
              <w:rPr>
                <w:rFonts w:cs="Arial"/>
                <w:b/>
                <w:sz w:val="20"/>
                <w:lang w:eastAsia="ar-SA"/>
              </w:rPr>
              <w:t>8606621/0100</w:t>
            </w:r>
          </w:p>
        </w:tc>
      </w:tr>
      <w:tr w:rsidR="00BE43D0" w:rsidRPr="009924AA" w:rsidTr="000B303F">
        <w:tc>
          <w:tcPr>
            <w:tcW w:w="2622" w:type="dxa"/>
          </w:tcPr>
          <w:p w:rsidR="00BE43D0" w:rsidRDefault="00BE43D0" w:rsidP="000B303F">
            <w:pPr>
              <w:snapToGrid w:val="0"/>
              <w:rPr>
                <w:rFonts w:cs="Arial"/>
                <w:b/>
                <w:sz w:val="20"/>
                <w:lang w:eastAsia="ar-SA"/>
              </w:rPr>
            </w:pPr>
            <w:r w:rsidRPr="009924AA">
              <w:rPr>
                <w:rFonts w:cs="Arial"/>
                <w:b/>
                <w:sz w:val="20"/>
                <w:lang w:eastAsia="ar-SA"/>
              </w:rPr>
              <w:t>variabilní symbol:</w:t>
            </w:r>
          </w:p>
          <w:p w:rsidR="00D134AB" w:rsidRPr="00D134AB" w:rsidRDefault="00943ED8" w:rsidP="000B303F">
            <w:pPr>
              <w:snapToGrid w:val="0"/>
              <w:rPr>
                <w:rFonts w:cs="Arial"/>
                <w:sz w:val="20"/>
                <w:lang w:eastAsia="ar-SA"/>
              </w:rPr>
            </w:pPr>
            <w:r>
              <w:rPr>
                <w:rFonts w:cs="Arial"/>
                <w:sz w:val="20"/>
                <w:lang w:eastAsia="ar-SA"/>
              </w:rPr>
              <w:t>ID datové schránky</w:t>
            </w:r>
            <w:r w:rsidR="00D134AB" w:rsidRPr="00D134AB">
              <w:rPr>
                <w:rFonts w:cs="Arial"/>
                <w:sz w:val="20"/>
                <w:lang w:eastAsia="ar-SA"/>
              </w:rPr>
              <w:t>:</w:t>
            </w:r>
          </w:p>
        </w:tc>
        <w:tc>
          <w:tcPr>
            <w:tcW w:w="7371" w:type="dxa"/>
          </w:tcPr>
          <w:p w:rsidR="005F40E1" w:rsidRDefault="005F40E1" w:rsidP="00D134AB">
            <w:pPr>
              <w:rPr>
                <w:rStyle w:val="left"/>
                <w:rFonts w:cs="Arial"/>
                <w:b/>
                <w:color w:val="000000"/>
                <w:sz w:val="20"/>
              </w:rPr>
            </w:pPr>
            <w:r w:rsidRPr="005F40E1">
              <w:rPr>
                <w:rStyle w:val="left"/>
                <w:rFonts w:cs="Arial"/>
                <w:b/>
                <w:color w:val="000000"/>
                <w:sz w:val="20"/>
              </w:rPr>
              <w:t>2627804023</w:t>
            </w:r>
          </w:p>
          <w:p w:rsidR="00D134AB" w:rsidRDefault="00D134AB" w:rsidP="00D134AB">
            <w:pPr>
              <w:rPr>
                <w:rFonts w:cs="Arial"/>
                <w:sz w:val="20"/>
              </w:rPr>
            </w:pPr>
            <w:r>
              <w:rPr>
                <w:rStyle w:val="left"/>
                <w:rFonts w:cs="Arial"/>
                <w:color w:val="000000"/>
                <w:sz w:val="20"/>
              </w:rPr>
              <w:t>e52cdsf</w:t>
            </w:r>
          </w:p>
          <w:p w:rsidR="00D134AB" w:rsidRPr="009924AA" w:rsidRDefault="00D134AB" w:rsidP="000B303F">
            <w:pPr>
              <w:snapToGrid w:val="0"/>
              <w:rPr>
                <w:rFonts w:cs="Arial"/>
                <w:b/>
                <w:sz w:val="20"/>
                <w:lang w:eastAsia="ar-SA"/>
              </w:rPr>
            </w:pPr>
          </w:p>
          <w:p w:rsidR="00BE43D0" w:rsidRPr="009924AA" w:rsidRDefault="00BE43D0" w:rsidP="000B303F">
            <w:pPr>
              <w:snapToGrid w:val="0"/>
              <w:rPr>
                <w:rFonts w:cs="Arial"/>
                <w:b/>
                <w:sz w:val="20"/>
                <w:lang w:eastAsia="ar-SA"/>
              </w:rPr>
            </w:pPr>
          </w:p>
        </w:tc>
      </w:tr>
    </w:tbl>
    <w:p w:rsidR="00BE43D0" w:rsidRPr="009924AA" w:rsidRDefault="00BE43D0" w:rsidP="00EC37E4">
      <w:pPr>
        <w:pStyle w:val="Zkladntext3"/>
        <w:widowControl/>
        <w:tabs>
          <w:tab w:val="left" w:pos="708"/>
        </w:tabs>
        <w:spacing w:before="120"/>
        <w:jc w:val="center"/>
        <w:rPr>
          <w:rFonts w:cs="Arial"/>
          <w:sz w:val="20"/>
          <w:szCs w:val="20"/>
        </w:rPr>
      </w:pPr>
      <w:r w:rsidRPr="009924AA">
        <w:rPr>
          <w:rFonts w:cs="Arial"/>
          <w:sz w:val="20"/>
          <w:szCs w:val="20"/>
        </w:rPr>
        <w:t>(dále jen pronajímatel)</w:t>
      </w:r>
    </w:p>
    <w:p w:rsidR="00BE43D0" w:rsidRDefault="00BE43D0" w:rsidP="00BE43D0">
      <w:pPr>
        <w:tabs>
          <w:tab w:val="left" w:pos="426"/>
          <w:tab w:val="left" w:pos="2127"/>
          <w:tab w:val="left" w:pos="3828"/>
        </w:tabs>
        <w:jc w:val="center"/>
        <w:rPr>
          <w:rFonts w:cs="Arial"/>
          <w:sz w:val="20"/>
        </w:rPr>
      </w:pPr>
    </w:p>
    <w:p w:rsidR="00BE43D0" w:rsidRPr="009924AA" w:rsidRDefault="00BE43D0" w:rsidP="003E7E11">
      <w:pPr>
        <w:tabs>
          <w:tab w:val="left" w:pos="426"/>
          <w:tab w:val="left" w:pos="2127"/>
          <w:tab w:val="left" w:pos="3828"/>
        </w:tabs>
        <w:jc w:val="center"/>
        <w:rPr>
          <w:rFonts w:cs="Arial"/>
          <w:sz w:val="20"/>
        </w:rPr>
      </w:pPr>
      <w:r w:rsidRPr="009924AA">
        <w:rPr>
          <w:rFonts w:cs="Arial"/>
          <w:sz w:val="20"/>
        </w:rPr>
        <w:t>a</w:t>
      </w:r>
    </w:p>
    <w:p w:rsidR="00BE43D0" w:rsidRDefault="00BE43D0" w:rsidP="00BE43D0">
      <w:pPr>
        <w:rPr>
          <w:rFonts w:cs="Arial"/>
          <w:sz w:val="20"/>
          <w:u w:val="single"/>
          <w:lang w:eastAsia="ar-SA"/>
        </w:rPr>
      </w:pPr>
    </w:p>
    <w:tbl>
      <w:tblPr>
        <w:tblW w:w="9990" w:type="dxa"/>
        <w:tblLayout w:type="fixed"/>
        <w:tblCellMar>
          <w:left w:w="70" w:type="dxa"/>
          <w:right w:w="70" w:type="dxa"/>
        </w:tblCellMar>
        <w:tblLook w:val="04A0" w:firstRow="1" w:lastRow="0" w:firstColumn="1" w:lastColumn="0" w:noHBand="0" w:noVBand="1"/>
      </w:tblPr>
      <w:tblGrid>
        <w:gridCol w:w="2621"/>
        <w:gridCol w:w="7369"/>
      </w:tblGrid>
      <w:tr w:rsidR="003E7E11" w:rsidRPr="00FB3408" w:rsidTr="00DC63AF">
        <w:tc>
          <w:tcPr>
            <w:tcW w:w="2622" w:type="dxa"/>
          </w:tcPr>
          <w:p w:rsidR="003E7E11" w:rsidRPr="00FB3408" w:rsidRDefault="003E7E11" w:rsidP="00DC63AF">
            <w:pPr>
              <w:snapToGrid w:val="0"/>
              <w:rPr>
                <w:rFonts w:cs="Arial"/>
                <w:b/>
                <w:sz w:val="20"/>
                <w:lang w:eastAsia="ar-SA"/>
              </w:rPr>
            </w:pPr>
            <w:r w:rsidRPr="00FB3408">
              <w:rPr>
                <w:rFonts w:cs="Arial"/>
                <w:b/>
                <w:sz w:val="20"/>
                <w:lang w:eastAsia="ar-SA"/>
              </w:rPr>
              <w:t>Společnost:</w:t>
            </w:r>
          </w:p>
        </w:tc>
        <w:tc>
          <w:tcPr>
            <w:tcW w:w="7371" w:type="dxa"/>
          </w:tcPr>
          <w:p w:rsidR="003E7E11" w:rsidRPr="00FB3408" w:rsidRDefault="00EC7282" w:rsidP="00DC63AF">
            <w:pPr>
              <w:snapToGrid w:val="0"/>
              <w:rPr>
                <w:rFonts w:cs="Arial"/>
                <w:b/>
                <w:sz w:val="20"/>
                <w:lang w:eastAsia="ar-SA"/>
              </w:rPr>
            </w:pPr>
            <w:r w:rsidRPr="00FB3408">
              <w:rPr>
                <w:rFonts w:cs="Arial"/>
                <w:b/>
                <w:sz w:val="20"/>
                <w:lang w:eastAsia="ar-SA"/>
              </w:rPr>
              <w:t>Správa železnic, státní organizace</w:t>
            </w:r>
          </w:p>
        </w:tc>
      </w:tr>
      <w:tr w:rsidR="003E7E11" w:rsidRPr="00FB3408" w:rsidTr="00DC63AF">
        <w:tc>
          <w:tcPr>
            <w:tcW w:w="2622" w:type="dxa"/>
            <w:hideMark/>
          </w:tcPr>
          <w:p w:rsidR="003E7E11" w:rsidRPr="00FB3408" w:rsidRDefault="003E7E11" w:rsidP="00DC63AF">
            <w:pPr>
              <w:snapToGrid w:val="0"/>
              <w:rPr>
                <w:rFonts w:cs="Arial"/>
                <w:sz w:val="20"/>
                <w:lang w:eastAsia="ar-SA"/>
              </w:rPr>
            </w:pPr>
            <w:r w:rsidRPr="00FB3408">
              <w:rPr>
                <w:rFonts w:cs="Arial"/>
                <w:sz w:val="20"/>
                <w:lang w:eastAsia="ar-SA"/>
              </w:rPr>
              <w:t>sídlo:</w:t>
            </w:r>
          </w:p>
        </w:tc>
        <w:tc>
          <w:tcPr>
            <w:tcW w:w="7371" w:type="dxa"/>
            <w:hideMark/>
          </w:tcPr>
          <w:p w:rsidR="003E7E11" w:rsidRPr="00FB3408" w:rsidRDefault="00EC7282" w:rsidP="00DC63AF">
            <w:pPr>
              <w:spacing w:line="240" w:lineRule="atLeast"/>
              <w:ind w:left="284" w:hanging="284"/>
              <w:rPr>
                <w:rFonts w:cs="Arial"/>
                <w:sz w:val="20"/>
                <w:lang w:eastAsia="ar-SA"/>
              </w:rPr>
            </w:pPr>
            <w:r w:rsidRPr="00FB3408">
              <w:rPr>
                <w:rFonts w:cs="Arial"/>
                <w:sz w:val="20"/>
                <w:lang w:eastAsia="ar-SA"/>
              </w:rPr>
              <w:t xml:space="preserve">Praha 1, Nové Město, Dlážděná 1003/7, PSČ 110 00                 </w:t>
            </w:r>
          </w:p>
        </w:tc>
      </w:tr>
      <w:tr w:rsidR="003E7E11" w:rsidRPr="00FB3408" w:rsidTr="00DC63AF">
        <w:tc>
          <w:tcPr>
            <w:tcW w:w="9993" w:type="dxa"/>
            <w:gridSpan w:val="2"/>
            <w:hideMark/>
          </w:tcPr>
          <w:p w:rsidR="00EC7282" w:rsidRPr="00FB3408" w:rsidRDefault="00EC7282" w:rsidP="00EC7282">
            <w:pPr>
              <w:tabs>
                <w:tab w:val="left" w:pos="2410"/>
              </w:tabs>
              <w:spacing w:line="240" w:lineRule="atLeast"/>
              <w:rPr>
                <w:rFonts w:cs="Arial"/>
                <w:sz w:val="20"/>
                <w:lang w:eastAsia="ar-SA"/>
              </w:rPr>
            </w:pPr>
            <w:r w:rsidRPr="00FB3408">
              <w:rPr>
                <w:rFonts w:cs="Arial"/>
                <w:sz w:val="20"/>
                <w:lang w:eastAsia="ar-SA"/>
              </w:rPr>
              <w:t>zapsaná ve veřejném rejstříku - obchodním rejstříku vedeném Městským soudem v Praze, sp. zn. A 48384</w:t>
            </w:r>
          </w:p>
          <w:p w:rsidR="003E7E11" w:rsidRPr="00FB3408" w:rsidRDefault="003E7E11" w:rsidP="00DC63AF">
            <w:pPr>
              <w:tabs>
                <w:tab w:val="clear" w:pos="2835"/>
              </w:tabs>
              <w:snapToGrid w:val="0"/>
              <w:jc w:val="left"/>
              <w:rPr>
                <w:rFonts w:cs="Arial"/>
                <w:sz w:val="20"/>
                <w:lang w:eastAsia="ar-SA"/>
              </w:rPr>
            </w:pPr>
            <w:r w:rsidRPr="00FB3408">
              <w:rPr>
                <w:rFonts w:cs="Arial"/>
                <w:sz w:val="20"/>
                <w:lang w:eastAsia="ar-SA"/>
              </w:rPr>
              <w:t xml:space="preserve">zastoupena ve věcech           </w:t>
            </w:r>
            <w:r w:rsidR="006F5D36">
              <w:rPr>
                <w:rFonts w:cs="Arial"/>
                <w:sz w:val="20"/>
              </w:rPr>
              <w:t xml:space="preserve">Ing. Jiřím Machem, ředitelem </w:t>
            </w:r>
            <w:r w:rsidR="006F5D36" w:rsidRPr="00B041F2">
              <w:rPr>
                <w:rFonts w:cs="Arial"/>
                <w:sz w:val="20"/>
              </w:rPr>
              <w:t>Oblastního ředitelství Ostrava</w:t>
            </w:r>
          </w:p>
          <w:p w:rsidR="003E7E11" w:rsidRPr="00FB3408" w:rsidRDefault="003E7E11" w:rsidP="00DC63AF">
            <w:pPr>
              <w:snapToGrid w:val="0"/>
              <w:jc w:val="left"/>
              <w:rPr>
                <w:rFonts w:cs="Arial"/>
                <w:sz w:val="20"/>
                <w:lang w:eastAsia="ar-SA"/>
              </w:rPr>
            </w:pPr>
            <w:r w:rsidRPr="00FB3408">
              <w:rPr>
                <w:rFonts w:cs="Arial"/>
                <w:sz w:val="20"/>
                <w:lang w:eastAsia="ar-SA"/>
              </w:rPr>
              <w:t>smluvních:</w:t>
            </w:r>
          </w:p>
          <w:p w:rsidR="00EC7282" w:rsidRPr="00FB3408" w:rsidRDefault="00EC7282" w:rsidP="00EC7282">
            <w:pPr>
              <w:tabs>
                <w:tab w:val="clear" w:pos="2835"/>
                <w:tab w:val="left" w:pos="2410"/>
                <w:tab w:val="left" w:pos="2694"/>
              </w:tabs>
              <w:spacing w:line="240" w:lineRule="atLeast"/>
              <w:jc w:val="left"/>
              <w:rPr>
                <w:rFonts w:cs="Arial"/>
                <w:sz w:val="20"/>
              </w:rPr>
            </w:pPr>
            <w:r w:rsidRPr="00FB3408">
              <w:rPr>
                <w:rFonts w:cs="Arial"/>
                <w:sz w:val="20"/>
                <w:lang w:eastAsia="ar-SA"/>
              </w:rPr>
              <w:t xml:space="preserve">adresa pro doručování </w:t>
            </w:r>
            <w:r w:rsidRPr="00FB3408">
              <w:rPr>
                <w:rFonts w:cs="Arial"/>
                <w:sz w:val="20"/>
              </w:rPr>
              <w:tab/>
            </w:r>
            <w:r w:rsidR="00FB3408">
              <w:rPr>
                <w:rFonts w:cs="Arial"/>
                <w:sz w:val="20"/>
              </w:rPr>
              <w:t xml:space="preserve">      </w:t>
            </w:r>
            <w:r w:rsidRPr="00FB3408">
              <w:rPr>
                <w:rFonts w:cs="Arial"/>
                <w:sz w:val="20"/>
              </w:rPr>
              <w:t>Správa železnic, státní organizace</w:t>
            </w:r>
          </w:p>
          <w:p w:rsidR="00EC7282" w:rsidRPr="00FB3408" w:rsidRDefault="00EC7282" w:rsidP="006F5D36">
            <w:pPr>
              <w:snapToGrid w:val="0"/>
              <w:jc w:val="left"/>
              <w:rPr>
                <w:rFonts w:cs="Arial"/>
                <w:sz w:val="20"/>
                <w:lang w:eastAsia="ar-SA"/>
              </w:rPr>
            </w:pPr>
            <w:r w:rsidRPr="00FB3408">
              <w:rPr>
                <w:rFonts w:cs="Arial"/>
                <w:sz w:val="20"/>
              </w:rPr>
              <w:t xml:space="preserve">písemností:   </w:t>
            </w:r>
            <w:r w:rsidR="00FB3408">
              <w:rPr>
                <w:rFonts w:cs="Arial"/>
                <w:sz w:val="20"/>
              </w:rPr>
              <w:tab/>
              <w:t xml:space="preserve">                      </w:t>
            </w:r>
            <w:r w:rsidR="006F5D36" w:rsidRPr="00B041F2">
              <w:rPr>
                <w:rFonts w:cs="Arial"/>
                <w:sz w:val="20"/>
              </w:rPr>
              <w:t>Oblastní ředitelství Ostrava, Muglinovská 1038, Ostrava 1 PSČ 702 00</w:t>
            </w:r>
          </w:p>
        </w:tc>
      </w:tr>
      <w:tr w:rsidR="003E7E11" w:rsidRPr="00FB3408" w:rsidTr="00DC63AF">
        <w:tc>
          <w:tcPr>
            <w:tcW w:w="2622" w:type="dxa"/>
            <w:hideMark/>
          </w:tcPr>
          <w:p w:rsidR="003E7E11" w:rsidRPr="00FB3408" w:rsidRDefault="003E7E11" w:rsidP="00DC63AF">
            <w:pPr>
              <w:snapToGrid w:val="0"/>
              <w:rPr>
                <w:rFonts w:cs="Arial"/>
                <w:sz w:val="20"/>
                <w:lang w:eastAsia="ar-SA"/>
              </w:rPr>
            </w:pPr>
            <w:r w:rsidRPr="00FB3408">
              <w:rPr>
                <w:rFonts w:cs="Arial"/>
                <w:sz w:val="20"/>
                <w:lang w:eastAsia="ar-SA"/>
              </w:rPr>
              <w:t>IČO:</w:t>
            </w:r>
          </w:p>
        </w:tc>
        <w:tc>
          <w:tcPr>
            <w:tcW w:w="7371" w:type="dxa"/>
            <w:hideMark/>
          </w:tcPr>
          <w:p w:rsidR="003E7E11" w:rsidRPr="00FB3408" w:rsidRDefault="008F4880" w:rsidP="00EC7282">
            <w:pPr>
              <w:spacing w:line="0" w:lineRule="atLeast"/>
              <w:rPr>
                <w:rFonts w:cs="Arial"/>
                <w:sz w:val="20"/>
              </w:rPr>
            </w:pPr>
            <w:r>
              <w:rPr>
                <w:rFonts w:cs="Arial"/>
                <w:sz w:val="20"/>
              </w:rPr>
              <w:t>70994</w:t>
            </w:r>
            <w:r w:rsidR="00EC7282" w:rsidRPr="00FB3408">
              <w:rPr>
                <w:rFonts w:cs="Arial"/>
                <w:sz w:val="20"/>
              </w:rPr>
              <w:t>234</w:t>
            </w:r>
          </w:p>
        </w:tc>
      </w:tr>
      <w:tr w:rsidR="003E7E11" w:rsidRPr="00FB3408" w:rsidTr="00DC63AF">
        <w:tc>
          <w:tcPr>
            <w:tcW w:w="2622" w:type="dxa"/>
            <w:hideMark/>
          </w:tcPr>
          <w:p w:rsidR="003E7E11" w:rsidRPr="00FB3408" w:rsidRDefault="003E7E11" w:rsidP="00DC63AF">
            <w:pPr>
              <w:snapToGrid w:val="0"/>
              <w:rPr>
                <w:rFonts w:cs="Arial"/>
                <w:sz w:val="20"/>
                <w:lang w:eastAsia="ar-SA"/>
              </w:rPr>
            </w:pPr>
            <w:r w:rsidRPr="00FB3408">
              <w:rPr>
                <w:rFonts w:cs="Arial"/>
                <w:sz w:val="20"/>
                <w:lang w:eastAsia="ar-SA"/>
              </w:rPr>
              <w:t>DIČ:</w:t>
            </w:r>
          </w:p>
        </w:tc>
        <w:tc>
          <w:tcPr>
            <w:tcW w:w="7371" w:type="dxa"/>
            <w:hideMark/>
          </w:tcPr>
          <w:p w:rsidR="003E7E11" w:rsidRPr="00FB3408" w:rsidRDefault="00EC7282" w:rsidP="00DC63AF">
            <w:pPr>
              <w:snapToGrid w:val="0"/>
              <w:ind w:right="497"/>
              <w:jc w:val="left"/>
              <w:rPr>
                <w:rFonts w:cs="Arial"/>
                <w:sz w:val="20"/>
              </w:rPr>
            </w:pPr>
            <w:r w:rsidRPr="00FB3408">
              <w:rPr>
                <w:rFonts w:cs="Arial"/>
                <w:sz w:val="20"/>
              </w:rPr>
              <w:t>CZ70994234</w:t>
            </w:r>
          </w:p>
        </w:tc>
      </w:tr>
      <w:tr w:rsidR="003E7E11" w:rsidRPr="00FB3408" w:rsidTr="00DC63AF">
        <w:tc>
          <w:tcPr>
            <w:tcW w:w="2622" w:type="dxa"/>
            <w:hideMark/>
          </w:tcPr>
          <w:p w:rsidR="003E7E11" w:rsidRPr="00FB3408" w:rsidRDefault="003E7E11" w:rsidP="00DC63AF">
            <w:pPr>
              <w:snapToGrid w:val="0"/>
              <w:rPr>
                <w:rFonts w:cs="Arial"/>
                <w:sz w:val="20"/>
                <w:lang w:eastAsia="ar-SA"/>
              </w:rPr>
            </w:pPr>
            <w:r w:rsidRPr="00FB3408">
              <w:rPr>
                <w:rFonts w:cs="Arial"/>
                <w:sz w:val="20"/>
                <w:lang w:eastAsia="ar-SA"/>
              </w:rPr>
              <w:t>bankovní spojení:</w:t>
            </w:r>
          </w:p>
        </w:tc>
        <w:tc>
          <w:tcPr>
            <w:tcW w:w="7371" w:type="dxa"/>
            <w:hideMark/>
          </w:tcPr>
          <w:p w:rsidR="003E7E11" w:rsidRPr="00FB3408" w:rsidRDefault="00EC7282" w:rsidP="00DC63AF">
            <w:pPr>
              <w:spacing w:line="240" w:lineRule="atLeast"/>
              <w:ind w:left="284" w:hanging="284"/>
              <w:rPr>
                <w:rFonts w:cs="Arial"/>
                <w:sz w:val="20"/>
              </w:rPr>
            </w:pPr>
            <w:r w:rsidRPr="00FB3408">
              <w:rPr>
                <w:rFonts w:cs="Arial"/>
                <w:sz w:val="20"/>
              </w:rPr>
              <w:t>Česká národní banka</w:t>
            </w:r>
          </w:p>
        </w:tc>
      </w:tr>
      <w:tr w:rsidR="003E7E11" w:rsidRPr="00FB3408" w:rsidTr="00DC63AF">
        <w:tc>
          <w:tcPr>
            <w:tcW w:w="2622" w:type="dxa"/>
            <w:hideMark/>
          </w:tcPr>
          <w:p w:rsidR="003E7E11" w:rsidRPr="00FB3408" w:rsidRDefault="003E7E11" w:rsidP="00DC63AF">
            <w:pPr>
              <w:snapToGrid w:val="0"/>
              <w:rPr>
                <w:rFonts w:cs="Arial"/>
                <w:sz w:val="20"/>
                <w:lang w:eastAsia="ar-SA"/>
              </w:rPr>
            </w:pPr>
            <w:r w:rsidRPr="00FB3408">
              <w:rPr>
                <w:rFonts w:cs="Arial"/>
                <w:sz w:val="20"/>
                <w:lang w:eastAsia="ar-SA"/>
              </w:rPr>
              <w:t>číslo účtu:</w:t>
            </w:r>
          </w:p>
        </w:tc>
        <w:tc>
          <w:tcPr>
            <w:tcW w:w="7371" w:type="dxa"/>
            <w:hideMark/>
          </w:tcPr>
          <w:p w:rsidR="003E7E11" w:rsidRPr="00FB3408" w:rsidRDefault="00EC7282" w:rsidP="00DC63AF">
            <w:pPr>
              <w:snapToGrid w:val="0"/>
              <w:ind w:right="497"/>
              <w:jc w:val="left"/>
              <w:rPr>
                <w:rFonts w:cs="Arial"/>
                <w:sz w:val="20"/>
                <w:lang w:eastAsia="ar-SA"/>
              </w:rPr>
            </w:pPr>
            <w:r w:rsidRPr="00FB3408">
              <w:rPr>
                <w:rFonts w:cs="Arial"/>
                <w:sz w:val="20"/>
              </w:rPr>
              <w:t>14606011/0710</w:t>
            </w:r>
          </w:p>
        </w:tc>
      </w:tr>
    </w:tbl>
    <w:p w:rsidR="003E7E11" w:rsidRPr="00FB3408" w:rsidRDefault="005B598A" w:rsidP="003E7E11">
      <w:pPr>
        <w:rPr>
          <w:rFonts w:cs="Arial"/>
          <w:sz w:val="20"/>
          <w:lang w:eastAsia="ar-SA"/>
        </w:rPr>
      </w:pPr>
      <w:r w:rsidRPr="00FB3408">
        <w:rPr>
          <w:rFonts w:cs="Arial"/>
          <w:sz w:val="20"/>
          <w:lang w:eastAsia="ar-SA"/>
        </w:rPr>
        <w:t>ID datové schránky:</w:t>
      </w:r>
      <w:r w:rsidRPr="00FB3408">
        <w:rPr>
          <w:rFonts w:cs="Arial"/>
          <w:sz w:val="20"/>
          <w:lang w:eastAsia="ar-SA"/>
        </w:rPr>
        <w:tab/>
      </w:r>
      <w:r w:rsidRPr="00FB3408">
        <w:rPr>
          <w:rFonts w:cs="Arial"/>
          <w:sz w:val="20"/>
          <w:lang w:eastAsia="ar-SA"/>
        </w:rPr>
        <w:tab/>
      </w:r>
      <w:r w:rsidRPr="00FB3408">
        <w:rPr>
          <w:rFonts w:cs="Arial"/>
          <w:sz w:val="20"/>
          <w:lang w:eastAsia="ar-SA"/>
        </w:rPr>
        <w:tab/>
        <w:t xml:space="preserve"> </w:t>
      </w:r>
      <w:r w:rsidR="00EC7282" w:rsidRPr="00FB3408">
        <w:rPr>
          <w:rFonts w:cs="Arial"/>
          <w:sz w:val="20"/>
          <w:lang w:eastAsia="ar-SA"/>
        </w:rPr>
        <w:t>uccchjm</w:t>
      </w:r>
    </w:p>
    <w:p w:rsidR="003E7E11" w:rsidRDefault="003E7E11" w:rsidP="003E7E11">
      <w:pPr>
        <w:rPr>
          <w:rFonts w:cs="Arial"/>
          <w:sz w:val="20"/>
          <w:lang w:eastAsia="ar-SA"/>
        </w:rPr>
      </w:pPr>
    </w:p>
    <w:p w:rsidR="003E7E11" w:rsidRPr="009924AA" w:rsidRDefault="003E7E11" w:rsidP="003E7E11">
      <w:pPr>
        <w:rPr>
          <w:rFonts w:cs="Arial"/>
          <w:sz w:val="20"/>
          <w:lang w:eastAsia="ar-SA"/>
        </w:rPr>
      </w:pPr>
    </w:p>
    <w:p w:rsidR="00BE43D0" w:rsidRPr="009924AA" w:rsidRDefault="00BE43D0" w:rsidP="00BE43D0">
      <w:pPr>
        <w:rPr>
          <w:rFonts w:cs="Arial"/>
          <w:sz w:val="20"/>
          <w:u w:val="single"/>
          <w:lang w:eastAsia="ar-SA"/>
        </w:rPr>
      </w:pPr>
    </w:p>
    <w:p w:rsidR="00BE43D0" w:rsidRDefault="00BE43D0" w:rsidP="00EC37E4">
      <w:pPr>
        <w:spacing w:before="120"/>
        <w:jc w:val="center"/>
        <w:rPr>
          <w:rFonts w:cs="Arial"/>
          <w:sz w:val="20"/>
        </w:rPr>
      </w:pPr>
      <w:r w:rsidRPr="009924AA">
        <w:rPr>
          <w:rFonts w:cs="Arial"/>
          <w:sz w:val="20"/>
        </w:rPr>
        <w:t>(dále jen nájemce)</w:t>
      </w:r>
    </w:p>
    <w:p w:rsidR="00BE43D0" w:rsidRDefault="00BE43D0" w:rsidP="00EC37E4">
      <w:pPr>
        <w:spacing w:before="120"/>
        <w:jc w:val="center"/>
        <w:rPr>
          <w:rFonts w:cs="Arial"/>
          <w:sz w:val="20"/>
        </w:rPr>
      </w:pPr>
    </w:p>
    <w:p w:rsidR="00BE43D0" w:rsidRDefault="00BE43D0" w:rsidP="00EC37E4">
      <w:pPr>
        <w:spacing w:before="120"/>
        <w:jc w:val="center"/>
        <w:rPr>
          <w:rFonts w:cs="Arial"/>
          <w:sz w:val="20"/>
        </w:rPr>
      </w:pPr>
      <w:r>
        <w:rPr>
          <w:rFonts w:cs="Arial"/>
          <w:sz w:val="20"/>
        </w:rPr>
        <w:t>(společně uváděny smluvní strany</w:t>
      </w:r>
      <w:r w:rsidRPr="009924AA">
        <w:rPr>
          <w:rFonts w:cs="Arial"/>
          <w:sz w:val="20"/>
        </w:rPr>
        <w:t>)</w:t>
      </w:r>
    </w:p>
    <w:p w:rsidR="00BE43D0" w:rsidRDefault="00BE43D0" w:rsidP="00BE43D0">
      <w:pPr>
        <w:spacing w:before="120"/>
        <w:jc w:val="left"/>
        <w:rPr>
          <w:rFonts w:cs="Arial"/>
          <w:sz w:val="20"/>
        </w:rPr>
      </w:pPr>
    </w:p>
    <w:p w:rsidR="00BE43D0" w:rsidRPr="009924AA" w:rsidRDefault="00BE43D0" w:rsidP="00BE43D0">
      <w:pPr>
        <w:spacing w:before="120"/>
        <w:jc w:val="left"/>
        <w:rPr>
          <w:rFonts w:cs="Arial"/>
          <w:sz w:val="20"/>
        </w:rPr>
      </w:pPr>
    </w:p>
    <w:p w:rsidR="00BE43D0" w:rsidRPr="00D267F0" w:rsidRDefault="00BE43D0" w:rsidP="00BE43D0">
      <w:pPr>
        <w:spacing w:before="120"/>
        <w:jc w:val="center"/>
        <w:rPr>
          <w:rFonts w:cs="Arial"/>
          <w:sz w:val="20"/>
        </w:rPr>
      </w:pPr>
      <w:r w:rsidRPr="00D267F0">
        <w:rPr>
          <w:rFonts w:cs="Arial"/>
          <w:sz w:val="20"/>
        </w:rPr>
        <w:t>Uzavírají podle zákona č.89/2012 Sb, občanský zákoník, v platném znění, tuto smlouvu o nájmu pozemku</w:t>
      </w:r>
    </w:p>
    <w:p w:rsidR="00BE43D0" w:rsidRDefault="00824D54" w:rsidP="00BE43D0">
      <w:p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jc w:val="center"/>
        <w:textAlignment w:val="auto"/>
        <w:rPr>
          <w:rFonts w:cs="Arial"/>
          <w:sz w:val="20"/>
        </w:rPr>
      </w:pPr>
      <w:r>
        <w:rPr>
          <w:rFonts w:cs="Arial"/>
          <w:sz w:val="20"/>
        </w:rPr>
        <w:t>(dále jen „smlouva“)</w:t>
      </w:r>
    </w:p>
    <w:p w:rsidR="00BE43D0" w:rsidRDefault="00BE43D0" w:rsidP="00BE43D0">
      <w:p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jc w:val="center"/>
        <w:textAlignment w:val="auto"/>
        <w:rPr>
          <w:rFonts w:cs="Arial"/>
          <w:sz w:val="20"/>
        </w:rPr>
      </w:pPr>
    </w:p>
    <w:p w:rsidR="00BE43D0" w:rsidRDefault="00BE43D0" w:rsidP="00BE43D0">
      <w:p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jc w:val="center"/>
        <w:textAlignment w:val="auto"/>
        <w:rPr>
          <w:rFonts w:cs="Arial"/>
          <w:sz w:val="20"/>
        </w:rPr>
      </w:pPr>
    </w:p>
    <w:p w:rsidR="00D81E88" w:rsidRDefault="00D81E88" w:rsidP="00BE43D0">
      <w:p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jc w:val="center"/>
        <w:textAlignment w:val="auto"/>
        <w:rPr>
          <w:rFonts w:cs="Arial"/>
          <w:sz w:val="20"/>
        </w:rPr>
      </w:pPr>
    </w:p>
    <w:p w:rsidR="00EC7282" w:rsidRDefault="00EC7282" w:rsidP="00184438">
      <w:pPr>
        <w:spacing w:before="120"/>
        <w:rPr>
          <w:rFonts w:cs="Arial"/>
          <w:sz w:val="20"/>
        </w:rPr>
      </w:pPr>
    </w:p>
    <w:p w:rsidR="003E7E11" w:rsidRDefault="003E7E11" w:rsidP="00184438">
      <w:pPr>
        <w:spacing w:before="120"/>
        <w:rPr>
          <w:rFonts w:cs="Arial"/>
          <w:sz w:val="20"/>
        </w:rPr>
      </w:pPr>
    </w:p>
    <w:p w:rsidR="006F5D36" w:rsidRPr="00206ED6" w:rsidRDefault="006F5D36" w:rsidP="00184438">
      <w:pPr>
        <w:spacing w:before="120"/>
        <w:rPr>
          <w:rFonts w:cs="Arial"/>
          <w:sz w:val="20"/>
        </w:rPr>
      </w:pPr>
    </w:p>
    <w:p w:rsidR="003E7E11" w:rsidRDefault="00BE43D0" w:rsidP="00D07EAE">
      <w:pPr>
        <w:pStyle w:val="Zkladntext3"/>
        <w:jc w:val="center"/>
        <w:rPr>
          <w:rFonts w:cs="Arial"/>
          <w:b/>
          <w:sz w:val="20"/>
          <w:szCs w:val="20"/>
        </w:rPr>
      </w:pPr>
      <w:r w:rsidRPr="00206ED6">
        <w:rPr>
          <w:rFonts w:cs="Arial"/>
          <w:b/>
          <w:sz w:val="20"/>
          <w:szCs w:val="20"/>
        </w:rPr>
        <w:lastRenderedPageBreak/>
        <w:t>I.</w:t>
      </w:r>
      <w:r w:rsidR="00D07EAE">
        <w:rPr>
          <w:rFonts w:cs="Arial"/>
          <w:b/>
          <w:sz w:val="20"/>
          <w:szCs w:val="20"/>
        </w:rPr>
        <w:t xml:space="preserve"> Předmět smlouvy a Předmět nájmu</w:t>
      </w:r>
    </w:p>
    <w:p w:rsidR="00E12A0B" w:rsidRDefault="003E7E11" w:rsidP="005B598A">
      <w:pPr>
        <w:pStyle w:val="Odstavecseseznamem"/>
        <w:widowControl/>
        <w:numPr>
          <w:ilvl w:val="0"/>
          <w:numId w:val="11"/>
        </w:numPr>
        <w:tabs>
          <w:tab w:val="clear" w:pos="284"/>
          <w:tab w:val="clear" w:pos="567"/>
          <w:tab w:val="clear" w:pos="851"/>
          <w:tab w:val="clear" w:pos="1134"/>
          <w:tab w:val="clear" w:pos="1418"/>
          <w:tab w:val="clear" w:pos="1701"/>
          <w:tab w:val="clear" w:pos="1985"/>
          <w:tab w:val="clear" w:pos="2268"/>
          <w:tab w:val="clear" w:pos="2552"/>
          <w:tab w:val="clear" w:pos="2835"/>
        </w:tabs>
        <w:overflowPunct/>
        <w:adjustRightInd/>
        <w:spacing w:before="40"/>
        <w:ind w:left="284" w:hanging="284"/>
        <w:textAlignment w:val="auto"/>
        <w:rPr>
          <w:rFonts w:cs="Arial"/>
          <w:sz w:val="20"/>
        </w:rPr>
      </w:pPr>
      <w:r w:rsidRPr="00426588">
        <w:rPr>
          <w:rFonts w:cs="Arial"/>
          <w:sz w:val="20"/>
        </w:rPr>
        <w:t>Předmětem nájemní smlouvy je závazek pronajímatele předat předmět nájmu do dočasného užívání nájemci a současně závazek nájemce tento předmět nájmu převzít a platit za jeho užívání nájemné ve výši a způsobem stanoveným touto smlouvou. Předmětem nájmu</w:t>
      </w:r>
      <w:r w:rsidR="00E12585" w:rsidRPr="00426588">
        <w:rPr>
          <w:rFonts w:cs="Arial"/>
          <w:sz w:val="20"/>
        </w:rPr>
        <w:t xml:space="preserve"> je</w:t>
      </w:r>
      <w:r w:rsidRPr="00426588">
        <w:rPr>
          <w:rFonts w:cs="Arial"/>
          <w:sz w:val="20"/>
        </w:rPr>
        <w:t xml:space="preserve"> </w:t>
      </w:r>
      <w:r w:rsidR="006F5D36" w:rsidRPr="00426588">
        <w:rPr>
          <w:rFonts w:cs="Arial"/>
          <w:sz w:val="20"/>
        </w:rPr>
        <w:t xml:space="preserve">část pozemku p. č. </w:t>
      </w:r>
      <w:r w:rsidR="003877EB" w:rsidRPr="00426588">
        <w:rPr>
          <w:rFonts w:cs="Arial"/>
          <w:sz w:val="20"/>
        </w:rPr>
        <w:t>5753</w:t>
      </w:r>
      <w:r w:rsidR="000E592B" w:rsidRPr="00426588">
        <w:rPr>
          <w:rFonts w:cs="Arial"/>
          <w:sz w:val="20"/>
        </w:rPr>
        <w:t>/1</w:t>
      </w:r>
      <w:r w:rsidR="008F4880" w:rsidRPr="00426588">
        <w:rPr>
          <w:rFonts w:cs="Arial"/>
          <w:sz w:val="20"/>
        </w:rPr>
        <w:t xml:space="preserve"> </w:t>
      </w:r>
      <w:r w:rsidR="00E12585" w:rsidRPr="00426588">
        <w:rPr>
          <w:rFonts w:cs="Arial"/>
          <w:sz w:val="20"/>
        </w:rPr>
        <w:t>o vým</w:t>
      </w:r>
      <w:r w:rsidR="00EC7282" w:rsidRPr="00426588">
        <w:rPr>
          <w:rFonts w:cs="Arial"/>
          <w:sz w:val="20"/>
        </w:rPr>
        <w:t xml:space="preserve">ěře </w:t>
      </w:r>
      <w:r w:rsidR="003877EB" w:rsidRPr="00426588">
        <w:rPr>
          <w:rFonts w:cs="Arial"/>
          <w:sz w:val="20"/>
        </w:rPr>
        <w:br/>
        <w:t>7</w:t>
      </w:r>
      <w:r w:rsidR="006F5D36" w:rsidRPr="00426588">
        <w:rPr>
          <w:rFonts w:cs="Arial"/>
          <w:sz w:val="20"/>
        </w:rPr>
        <w:t>,00</w:t>
      </w:r>
      <w:r w:rsidR="00937699" w:rsidRPr="00426588">
        <w:rPr>
          <w:rFonts w:cs="Arial"/>
          <w:sz w:val="20"/>
        </w:rPr>
        <w:t xml:space="preserve"> </w:t>
      </w:r>
      <w:r w:rsidR="00441275" w:rsidRPr="00426588">
        <w:rPr>
          <w:rFonts w:cs="Arial"/>
          <w:sz w:val="20"/>
        </w:rPr>
        <w:t>m</w:t>
      </w:r>
      <w:r w:rsidR="00441275" w:rsidRPr="00426588">
        <w:rPr>
          <w:rFonts w:cs="Arial"/>
          <w:sz w:val="20"/>
          <w:vertAlign w:val="superscript"/>
        </w:rPr>
        <w:t>2</w:t>
      </w:r>
      <w:r w:rsidR="003877EB" w:rsidRPr="00426588">
        <w:rPr>
          <w:rFonts w:cs="Arial"/>
          <w:sz w:val="20"/>
          <w:vertAlign w:val="superscript"/>
        </w:rPr>
        <w:t xml:space="preserve"> </w:t>
      </w:r>
      <w:r w:rsidR="003877EB" w:rsidRPr="00426588">
        <w:rPr>
          <w:rFonts w:cs="Arial"/>
          <w:sz w:val="20"/>
        </w:rPr>
        <w:t xml:space="preserve">a část pozemku p.č. </w:t>
      </w:r>
      <w:r w:rsidR="00426588" w:rsidRPr="00426588">
        <w:rPr>
          <w:rFonts w:cs="Arial"/>
          <w:sz w:val="20"/>
        </w:rPr>
        <w:t>6868/83</w:t>
      </w:r>
      <w:r w:rsidR="003877EB" w:rsidRPr="00426588">
        <w:rPr>
          <w:rFonts w:cs="Arial"/>
          <w:sz w:val="20"/>
        </w:rPr>
        <w:t xml:space="preserve"> s celkovou výměrou 72</w:t>
      </w:r>
      <w:r w:rsidR="00426588" w:rsidRPr="00426588">
        <w:rPr>
          <w:rFonts w:cs="Arial"/>
          <w:sz w:val="20"/>
        </w:rPr>
        <w:t>,8</w:t>
      </w:r>
      <w:r w:rsidR="003877EB" w:rsidRPr="00426588">
        <w:rPr>
          <w:rFonts w:cs="Arial"/>
          <w:sz w:val="20"/>
        </w:rPr>
        <w:t>0 m</w:t>
      </w:r>
      <w:r w:rsidR="003877EB" w:rsidRPr="00426588">
        <w:rPr>
          <w:rFonts w:cs="Arial"/>
          <w:sz w:val="20"/>
          <w:vertAlign w:val="superscript"/>
        </w:rPr>
        <w:t>2</w:t>
      </w:r>
      <w:r w:rsidR="00EC7282" w:rsidRPr="00426588">
        <w:rPr>
          <w:rFonts w:cs="Arial"/>
          <w:sz w:val="20"/>
          <w:vertAlign w:val="superscript"/>
        </w:rPr>
        <w:t xml:space="preserve"> </w:t>
      </w:r>
      <w:r w:rsidR="00441275" w:rsidRPr="00426588">
        <w:rPr>
          <w:rFonts w:cs="Arial"/>
          <w:sz w:val="20"/>
        </w:rPr>
        <w:t xml:space="preserve">nacházející se v katastrálním území </w:t>
      </w:r>
      <w:r w:rsidR="003877EB" w:rsidRPr="00426588">
        <w:rPr>
          <w:rFonts w:cs="Arial"/>
          <w:sz w:val="20"/>
        </w:rPr>
        <w:t>Přerov</w:t>
      </w:r>
      <w:r w:rsidR="006F5D36" w:rsidRPr="00426588">
        <w:rPr>
          <w:rFonts w:cs="Arial"/>
          <w:sz w:val="20"/>
        </w:rPr>
        <w:t xml:space="preserve"> </w:t>
      </w:r>
      <w:r w:rsidR="005B598A" w:rsidRPr="00426588">
        <w:rPr>
          <w:rFonts w:cs="Arial"/>
          <w:sz w:val="20"/>
        </w:rPr>
        <w:t>(</w:t>
      </w:r>
      <w:r w:rsidR="003877EB" w:rsidRPr="00426588">
        <w:rPr>
          <w:rFonts w:cs="Arial"/>
          <w:sz w:val="20"/>
        </w:rPr>
        <w:t>734713</w:t>
      </w:r>
      <w:r w:rsidR="00441275" w:rsidRPr="00426588">
        <w:rPr>
          <w:rFonts w:cs="Arial"/>
          <w:sz w:val="20"/>
        </w:rPr>
        <w:t>) v</w:t>
      </w:r>
      <w:r w:rsidR="006F5D36" w:rsidRPr="00426588">
        <w:rPr>
          <w:rFonts w:cs="Arial"/>
          <w:sz w:val="20"/>
        </w:rPr>
        <w:t> </w:t>
      </w:r>
      <w:r w:rsidR="00441275" w:rsidRPr="00426588">
        <w:rPr>
          <w:rFonts w:cs="Arial"/>
          <w:sz w:val="20"/>
        </w:rPr>
        <w:t>obci</w:t>
      </w:r>
      <w:r w:rsidR="003877EB" w:rsidRPr="00426588">
        <w:rPr>
          <w:rFonts w:cs="Arial"/>
          <w:sz w:val="20"/>
        </w:rPr>
        <w:t xml:space="preserve"> Přerov</w:t>
      </w:r>
      <w:r w:rsidR="00441275" w:rsidRPr="00426588">
        <w:rPr>
          <w:rFonts w:cs="Arial"/>
          <w:sz w:val="20"/>
        </w:rPr>
        <w:t>, zap</w:t>
      </w:r>
      <w:r w:rsidR="005B598A" w:rsidRPr="00426588">
        <w:rPr>
          <w:rFonts w:cs="Arial"/>
          <w:sz w:val="20"/>
        </w:rPr>
        <w:t>saný na listu vlastnictví č. </w:t>
      </w:r>
      <w:r w:rsidR="003877EB" w:rsidRPr="00426588">
        <w:rPr>
          <w:rFonts w:cs="Arial"/>
          <w:sz w:val="20"/>
        </w:rPr>
        <w:t>14090</w:t>
      </w:r>
      <w:r w:rsidR="00441275" w:rsidRPr="00426588">
        <w:rPr>
          <w:rFonts w:cs="Arial"/>
          <w:sz w:val="20"/>
        </w:rPr>
        <w:t xml:space="preserve">, vedeného u Katastrálního úřadu pro </w:t>
      </w:r>
      <w:r w:rsidR="003877EB" w:rsidRPr="00426588">
        <w:rPr>
          <w:rFonts w:cs="Arial"/>
          <w:sz w:val="20"/>
        </w:rPr>
        <w:t>Olomouc</w:t>
      </w:r>
      <w:r w:rsidR="006F5D36" w:rsidRPr="00426588">
        <w:rPr>
          <w:rFonts w:cs="Arial"/>
          <w:sz w:val="20"/>
        </w:rPr>
        <w:t>ký kraj</w:t>
      </w:r>
      <w:r w:rsidR="00441275" w:rsidRPr="00426588">
        <w:rPr>
          <w:rFonts w:cs="Arial"/>
          <w:sz w:val="20"/>
        </w:rPr>
        <w:t>, Katastrální pracoviště</w:t>
      </w:r>
      <w:r w:rsidR="003877EB" w:rsidRPr="00426588">
        <w:rPr>
          <w:rFonts w:cs="Arial"/>
          <w:sz w:val="20"/>
        </w:rPr>
        <w:t xml:space="preserve"> Přerov</w:t>
      </w:r>
      <w:r w:rsidR="00441275" w:rsidRPr="00426588">
        <w:rPr>
          <w:rFonts w:cs="Arial"/>
          <w:sz w:val="20"/>
        </w:rPr>
        <w:t>. (dále jen „předmět nájmu“ nebo „pozemek“).</w:t>
      </w:r>
    </w:p>
    <w:p w:rsidR="00426588" w:rsidRPr="00426588" w:rsidRDefault="00426588" w:rsidP="00426588">
      <w:pPr>
        <w:pStyle w:val="Odstavecseseznamem"/>
        <w:widowControl/>
        <w:tabs>
          <w:tab w:val="clear" w:pos="284"/>
          <w:tab w:val="clear" w:pos="567"/>
          <w:tab w:val="clear" w:pos="851"/>
          <w:tab w:val="clear" w:pos="1134"/>
          <w:tab w:val="clear" w:pos="1418"/>
          <w:tab w:val="clear" w:pos="1701"/>
          <w:tab w:val="clear" w:pos="1985"/>
          <w:tab w:val="clear" w:pos="2268"/>
          <w:tab w:val="clear" w:pos="2552"/>
          <w:tab w:val="clear" w:pos="2835"/>
        </w:tabs>
        <w:overflowPunct/>
        <w:adjustRightInd/>
        <w:spacing w:before="40"/>
        <w:ind w:left="284"/>
        <w:textAlignment w:val="auto"/>
        <w:rPr>
          <w:rFonts w:cs="Arial"/>
          <w:sz w:val="20"/>
        </w:rPr>
      </w:pPr>
    </w:p>
    <w:p w:rsidR="00426588" w:rsidRDefault="008F4880" w:rsidP="003877EB">
      <w:pPr>
        <w:widowControl/>
        <w:tabs>
          <w:tab w:val="clear" w:pos="284"/>
          <w:tab w:val="clear" w:pos="567"/>
          <w:tab w:val="clear" w:pos="851"/>
          <w:tab w:val="clear" w:pos="1134"/>
          <w:tab w:val="clear" w:pos="1418"/>
          <w:tab w:val="clear" w:pos="1701"/>
          <w:tab w:val="clear" w:pos="1985"/>
          <w:tab w:val="clear" w:pos="2268"/>
          <w:tab w:val="clear" w:pos="2552"/>
          <w:tab w:val="clear" w:pos="2835"/>
        </w:tabs>
        <w:overflowPunct/>
        <w:adjustRightInd/>
        <w:spacing w:before="40"/>
        <w:ind w:firstLine="284"/>
        <w:textAlignment w:val="auto"/>
        <w:rPr>
          <w:rFonts w:cs="Arial"/>
          <w:sz w:val="20"/>
        </w:rPr>
      </w:pPr>
      <w:r>
        <w:rPr>
          <w:rFonts w:cs="Arial"/>
          <w:sz w:val="20"/>
        </w:rPr>
        <w:t xml:space="preserve">číslo pozemku p. č. </w:t>
      </w:r>
      <w:r w:rsidR="003877EB">
        <w:rPr>
          <w:rFonts w:cs="Arial"/>
          <w:sz w:val="20"/>
        </w:rPr>
        <w:t>5753</w:t>
      </w:r>
      <w:r w:rsidR="000E592B">
        <w:rPr>
          <w:rFonts w:cs="Arial"/>
          <w:sz w:val="20"/>
        </w:rPr>
        <w:t>/1</w:t>
      </w:r>
      <w:r w:rsidR="007A2F35">
        <w:rPr>
          <w:rFonts w:cs="Arial"/>
          <w:sz w:val="20"/>
        </w:rPr>
        <w:t xml:space="preserve"> </w:t>
      </w:r>
      <w:r w:rsidR="00E12A0B" w:rsidRPr="00E12A0B">
        <w:rPr>
          <w:rFonts w:cs="Arial"/>
          <w:sz w:val="20"/>
        </w:rPr>
        <w:t xml:space="preserve">dle SAP: </w:t>
      </w:r>
      <w:r w:rsidR="003877EB">
        <w:rPr>
          <w:rFonts w:cs="Arial"/>
          <w:sz w:val="20"/>
        </w:rPr>
        <w:t>1000/12</w:t>
      </w:r>
      <w:r w:rsidR="006F5D36">
        <w:rPr>
          <w:rFonts w:cs="Arial"/>
          <w:sz w:val="20"/>
        </w:rPr>
        <w:t>/</w:t>
      </w:r>
      <w:r w:rsidR="003877EB">
        <w:rPr>
          <w:rFonts w:cs="Arial"/>
          <w:sz w:val="20"/>
        </w:rPr>
        <w:t>912</w:t>
      </w:r>
      <w:r w:rsidR="000E592B">
        <w:rPr>
          <w:rFonts w:cs="Arial"/>
          <w:sz w:val="20"/>
        </w:rPr>
        <w:t>, IC50</w:t>
      </w:r>
      <w:r w:rsidR="006F5D36">
        <w:rPr>
          <w:rFonts w:cs="Arial"/>
          <w:sz w:val="20"/>
        </w:rPr>
        <w:t>00</w:t>
      </w:r>
      <w:r w:rsidR="00426588">
        <w:rPr>
          <w:rFonts w:cs="Arial"/>
          <w:sz w:val="20"/>
        </w:rPr>
        <w:t>242745</w:t>
      </w:r>
    </w:p>
    <w:p w:rsidR="00E12A0B" w:rsidRPr="00E12A0B" w:rsidRDefault="003877EB" w:rsidP="003877EB">
      <w:pPr>
        <w:widowControl/>
        <w:tabs>
          <w:tab w:val="clear" w:pos="284"/>
          <w:tab w:val="clear" w:pos="567"/>
          <w:tab w:val="clear" w:pos="851"/>
          <w:tab w:val="clear" w:pos="1134"/>
          <w:tab w:val="clear" w:pos="1418"/>
          <w:tab w:val="clear" w:pos="1701"/>
          <w:tab w:val="clear" w:pos="1985"/>
          <w:tab w:val="clear" w:pos="2268"/>
          <w:tab w:val="clear" w:pos="2552"/>
          <w:tab w:val="clear" w:pos="2835"/>
        </w:tabs>
        <w:overflowPunct/>
        <w:adjustRightInd/>
        <w:spacing w:before="40"/>
        <w:ind w:firstLine="284"/>
        <w:textAlignment w:val="auto"/>
        <w:rPr>
          <w:rFonts w:cs="Arial"/>
          <w:sz w:val="20"/>
        </w:rPr>
      </w:pPr>
      <w:r>
        <w:rPr>
          <w:rFonts w:cs="Arial"/>
          <w:sz w:val="20"/>
        </w:rPr>
        <w:t>číslo pozemku p.</w:t>
      </w:r>
      <w:r w:rsidR="00426588">
        <w:rPr>
          <w:rFonts w:cs="Arial"/>
          <w:sz w:val="20"/>
        </w:rPr>
        <w:t xml:space="preserve"> </w:t>
      </w:r>
      <w:r>
        <w:rPr>
          <w:rFonts w:cs="Arial"/>
          <w:sz w:val="20"/>
        </w:rPr>
        <w:t xml:space="preserve">č. 6868/83 dle SAP: 1000/12/197, IC </w:t>
      </w:r>
      <w:r>
        <w:rPr>
          <w:rFonts w:cs="Arial"/>
          <w:sz w:val="20"/>
        </w:rPr>
        <w:t>50</w:t>
      </w:r>
      <w:r>
        <w:rPr>
          <w:rFonts w:cs="Arial"/>
          <w:sz w:val="20"/>
        </w:rPr>
        <w:t>00242776.</w:t>
      </w:r>
    </w:p>
    <w:p w:rsidR="00BE43D0" w:rsidRPr="00206ED6" w:rsidRDefault="00BE43D0" w:rsidP="005B598A">
      <w:pPr>
        <w:widowControl/>
        <w:numPr>
          <w:ilvl w:val="0"/>
          <w:numId w:val="1"/>
        </w:numPr>
        <w:tabs>
          <w:tab w:val="clear" w:pos="284"/>
          <w:tab w:val="clear" w:pos="567"/>
          <w:tab w:val="clear" w:pos="851"/>
          <w:tab w:val="clear" w:pos="1134"/>
          <w:tab w:val="clear" w:pos="1418"/>
          <w:tab w:val="clear" w:pos="1701"/>
          <w:tab w:val="clear" w:pos="1985"/>
          <w:tab w:val="clear" w:pos="2268"/>
          <w:tab w:val="clear" w:pos="2552"/>
          <w:tab w:val="clear" w:pos="2835"/>
          <w:tab w:val="left" w:pos="-1418"/>
          <w:tab w:val="left" w:pos="-1134"/>
          <w:tab w:val="left" w:pos="-851"/>
          <w:tab w:val="left" w:pos="-709"/>
          <w:tab w:val="left" w:pos="-567"/>
          <w:tab w:val="left" w:pos="-426"/>
        </w:tabs>
        <w:overflowPunct/>
        <w:adjustRightInd/>
        <w:spacing w:before="120"/>
        <w:ind w:left="284" w:hanging="284"/>
        <w:textAlignment w:val="auto"/>
        <w:rPr>
          <w:rFonts w:cs="Arial"/>
          <w:sz w:val="20"/>
        </w:rPr>
      </w:pPr>
      <w:r w:rsidRPr="00206ED6">
        <w:rPr>
          <w:rFonts w:cs="Arial"/>
          <w:sz w:val="20"/>
        </w:rPr>
        <w:t>Pronajímatel touto smlouvou dává a nájemce přebírá do nájmu př</w:t>
      </w:r>
      <w:r>
        <w:rPr>
          <w:rFonts w:cs="Arial"/>
          <w:sz w:val="20"/>
        </w:rPr>
        <w:t>edmět nájmu specifikovaný v</w:t>
      </w:r>
      <w:r w:rsidR="005B598A">
        <w:rPr>
          <w:rFonts w:cs="Arial"/>
          <w:sz w:val="20"/>
        </w:rPr>
        <w:t xml:space="preserve"> odstavci 1 tohoto </w:t>
      </w:r>
      <w:r>
        <w:rPr>
          <w:rFonts w:cs="Arial"/>
          <w:sz w:val="20"/>
        </w:rPr>
        <w:t>článku</w:t>
      </w:r>
      <w:r w:rsidR="005B598A">
        <w:rPr>
          <w:rFonts w:cs="Arial"/>
          <w:sz w:val="20"/>
        </w:rPr>
        <w:t>.</w:t>
      </w:r>
    </w:p>
    <w:p w:rsidR="00BE43D0" w:rsidRPr="00F4678A" w:rsidRDefault="00BE43D0" w:rsidP="00BE43D0">
      <w:pPr>
        <w:widowControl/>
        <w:numPr>
          <w:ilvl w:val="0"/>
          <w:numId w:val="1"/>
        </w:numPr>
        <w:tabs>
          <w:tab w:val="clear" w:pos="284"/>
          <w:tab w:val="clear" w:pos="567"/>
          <w:tab w:val="clear" w:pos="851"/>
          <w:tab w:val="clear" w:pos="1134"/>
          <w:tab w:val="clear" w:pos="1418"/>
          <w:tab w:val="clear" w:pos="1701"/>
          <w:tab w:val="clear" w:pos="1985"/>
          <w:tab w:val="clear" w:pos="2268"/>
          <w:tab w:val="clear" w:pos="2552"/>
          <w:tab w:val="clear" w:pos="2835"/>
          <w:tab w:val="left" w:pos="-1418"/>
          <w:tab w:val="left" w:pos="-1134"/>
          <w:tab w:val="left" w:pos="-851"/>
          <w:tab w:val="left" w:pos="-709"/>
          <w:tab w:val="left" w:pos="-567"/>
          <w:tab w:val="left" w:pos="-426"/>
        </w:tabs>
        <w:overflowPunct/>
        <w:adjustRightInd/>
        <w:ind w:left="284" w:hanging="284"/>
        <w:textAlignment w:val="auto"/>
        <w:rPr>
          <w:rFonts w:cs="Arial"/>
          <w:sz w:val="20"/>
        </w:rPr>
      </w:pPr>
      <w:r w:rsidRPr="00206ED6">
        <w:rPr>
          <w:rFonts w:cs="Arial"/>
          <w:sz w:val="20"/>
        </w:rPr>
        <w:t xml:space="preserve">Předmět nájmu </w:t>
      </w:r>
      <w:r>
        <w:rPr>
          <w:rFonts w:cs="Arial"/>
          <w:sz w:val="20"/>
        </w:rPr>
        <w:t>je</w:t>
      </w:r>
      <w:r w:rsidR="00EC37E4">
        <w:rPr>
          <w:rFonts w:cs="Arial"/>
          <w:sz w:val="20"/>
        </w:rPr>
        <w:t xml:space="preserve"> </w:t>
      </w:r>
      <w:r w:rsidR="002C668F">
        <w:rPr>
          <w:rFonts w:cs="Arial"/>
          <w:sz w:val="20"/>
        </w:rPr>
        <w:t>blíže specifikovány v záborovém elaborátu</w:t>
      </w:r>
      <w:r w:rsidR="00EC37E4">
        <w:rPr>
          <w:rFonts w:cs="Arial"/>
          <w:sz w:val="20"/>
        </w:rPr>
        <w:t>, který</w:t>
      </w:r>
      <w:r w:rsidRPr="00206ED6">
        <w:rPr>
          <w:rFonts w:cs="Arial"/>
          <w:sz w:val="20"/>
        </w:rPr>
        <w:t xml:space="preserve"> je nedílnou přílohou č. </w:t>
      </w:r>
      <w:r w:rsidR="001870E4">
        <w:rPr>
          <w:rFonts w:cs="Arial"/>
          <w:sz w:val="20"/>
        </w:rPr>
        <w:t>1</w:t>
      </w:r>
      <w:r w:rsidR="00514F85">
        <w:rPr>
          <w:rFonts w:cs="Arial"/>
          <w:sz w:val="20"/>
        </w:rPr>
        <w:t xml:space="preserve"> této smlouvy.</w:t>
      </w:r>
    </w:p>
    <w:p w:rsidR="00BE43D0" w:rsidRPr="001C3375" w:rsidRDefault="00BE43D0" w:rsidP="00BE43D0">
      <w:pPr>
        <w:numPr>
          <w:ilvl w:val="0"/>
          <w:numId w:val="1"/>
        </w:num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ind w:left="284" w:hanging="284"/>
        <w:textAlignment w:val="auto"/>
        <w:rPr>
          <w:rFonts w:cs="Arial"/>
          <w:sz w:val="20"/>
        </w:rPr>
      </w:pPr>
      <w:r w:rsidRPr="00206ED6">
        <w:rPr>
          <w:rFonts w:cs="Arial"/>
          <w:sz w:val="20"/>
        </w:rPr>
        <w:t>Nájemce prohlašuje, že je seznámen se stavem předmětu nájmu. Stav pronajatého pozemku je uveden v předávacím protokolu, pořízeném při předání a převzetí pozemku do nájmu, který je součástí spisu.</w:t>
      </w:r>
    </w:p>
    <w:p w:rsidR="00BE43D0" w:rsidRPr="001C3375" w:rsidRDefault="00BE43D0" w:rsidP="00BE43D0">
      <w:pPr>
        <w:numPr>
          <w:ilvl w:val="0"/>
          <w:numId w:val="1"/>
        </w:num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ind w:left="284" w:hanging="284"/>
        <w:textAlignment w:val="auto"/>
        <w:rPr>
          <w:rFonts w:cs="Arial"/>
          <w:sz w:val="20"/>
        </w:rPr>
      </w:pPr>
      <w:r w:rsidRPr="00206ED6">
        <w:rPr>
          <w:rFonts w:cs="Arial"/>
          <w:sz w:val="20"/>
        </w:rPr>
        <w:t xml:space="preserve">Správcem </w:t>
      </w:r>
      <w:r w:rsidRPr="00206ED6">
        <w:rPr>
          <w:rFonts w:cs="Arial"/>
          <w:sz w:val="20"/>
          <w:lang w:eastAsia="ar-SA"/>
        </w:rPr>
        <w:t xml:space="preserve">předmětu nájmu </w:t>
      </w:r>
      <w:r w:rsidRPr="00206ED6">
        <w:rPr>
          <w:rFonts w:cs="Arial"/>
          <w:sz w:val="20"/>
        </w:rPr>
        <w:t>jsou ke dni podpisu této smlouvy České dráhy, a.s., Regionální správa majetku Brno (dále jen RSM Brno).  Ke dni předání vyhotoví RSM Brno předávací protokol.</w:t>
      </w:r>
    </w:p>
    <w:p w:rsidR="00BE43D0" w:rsidRPr="001C3375" w:rsidRDefault="00BE43D0" w:rsidP="00BE43D0">
      <w:pPr>
        <w:numPr>
          <w:ilvl w:val="0"/>
          <w:numId w:val="1"/>
        </w:num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ind w:left="284" w:hanging="284"/>
        <w:textAlignment w:val="auto"/>
        <w:rPr>
          <w:rFonts w:cs="Arial"/>
          <w:sz w:val="20"/>
        </w:rPr>
      </w:pPr>
      <w:r w:rsidRPr="00206ED6">
        <w:rPr>
          <w:rFonts w:cs="Arial"/>
          <w:sz w:val="20"/>
        </w:rPr>
        <w:t>Smluvní strany shledaly předmět nájmu bez ekologického znečištění.</w:t>
      </w:r>
    </w:p>
    <w:p w:rsidR="00BE43D0" w:rsidRPr="00206ED6" w:rsidRDefault="00BE43D0" w:rsidP="00BE43D0">
      <w:pPr>
        <w:numPr>
          <w:ilvl w:val="0"/>
          <w:numId w:val="1"/>
        </w:num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ind w:left="284" w:hanging="284"/>
        <w:textAlignment w:val="auto"/>
        <w:rPr>
          <w:rFonts w:cs="Arial"/>
          <w:sz w:val="20"/>
        </w:rPr>
      </w:pPr>
      <w:r w:rsidRPr="00206ED6">
        <w:rPr>
          <w:rFonts w:cs="Arial"/>
          <w:sz w:val="20"/>
        </w:rPr>
        <w:t>Pozemky v obvodu dráhy ve vlastnictví pronajímatele jsou určeny pro veřejnou dopravu.</w:t>
      </w:r>
    </w:p>
    <w:p w:rsidR="00BE43D0" w:rsidRDefault="00BE43D0" w:rsidP="00BE43D0">
      <w:pPr>
        <w:pStyle w:val="Zkladntext3"/>
        <w:spacing w:after="0"/>
        <w:jc w:val="center"/>
        <w:rPr>
          <w:rFonts w:cs="Arial"/>
          <w:b/>
          <w:sz w:val="20"/>
          <w:szCs w:val="20"/>
        </w:rPr>
      </w:pPr>
    </w:p>
    <w:p w:rsidR="00BE43D0" w:rsidRPr="00206ED6" w:rsidRDefault="00BE43D0" w:rsidP="00BE43D0">
      <w:pPr>
        <w:pStyle w:val="Zkladntext3"/>
        <w:spacing w:after="0"/>
        <w:jc w:val="center"/>
        <w:rPr>
          <w:rFonts w:cs="Arial"/>
          <w:b/>
          <w:sz w:val="20"/>
          <w:szCs w:val="20"/>
        </w:rPr>
      </w:pPr>
    </w:p>
    <w:p w:rsidR="00BE43D0" w:rsidRPr="00206ED6" w:rsidRDefault="00BE43D0" w:rsidP="00BE43D0">
      <w:pPr>
        <w:pStyle w:val="Zkladntext3"/>
        <w:spacing w:after="0"/>
        <w:jc w:val="center"/>
        <w:rPr>
          <w:rFonts w:cs="Arial"/>
          <w:b/>
          <w:sz w:val="20"/>
          <w:szCs w:val="20"/>
        </w:rPr>
      </w:pPr>
      <w:r w:rsidRPr="00206ED6">
        <w:rPr>
          <w:rFonts w:cs="Arial"/>
          <w:b/>
          <w:sz w:val="20"/>
          <w:szCs w:val="20"/>
        </w:rPr>
        <w:t>II. Účel nájmu</w:t>
      </w:r>
    </w:p>
    <w:p w:rsidR="00BE43D0" w:rsidRDefault="00BE43D0" w:rsidP="00BE43D0">
      <w:pPr>
        <w:numPr>
          <w:ilvl w:val="0"/>
          <w:numId w:val="3"/>
        </w:numPr>
        <w:tabs>
          <w:tab w:val="clear" w:pos="567"/>
        </w:tabs>
        <w:spacing w:before="120"/>
        <w:ind w:left="284" w:hanging="284"/>
        <w:rPr>
          <w:rFonts w:cs="Arial"/>
          <w:sz w:val="20"/>
        </w:rPr>
      </w:pPr>
      <w:r w:rsidRPr="00206ED6">
        <w:rPr>
          <w:rFonts w:cs="Arial"/>
          <w:sz w:val="20"/>
        </w:rPr>
        <w:t>Nájemce se zavazuje užívat předmět nájmu výhradně ke sjednanému účelu:</w:t>
      </w:r>
    </w:p>
    <w:p w:rsidR="006F5D36" w:rsidRDefault="00582595" w:rsidP="006F5D36">
      <w:pPr>
        <w:tabs>
          <w:tab w:val="clear" w:pos="567"/>
        </w:tabs>
        <w:spacing w:before="120"/>
        <w:ind w:left="284"/>
        <w:jc w:val="center"/>
        <w:rPr>
          <w:rFonts w:cs="Arial"/>
          <w:b/>
          <w:sz w:val="20"/>
          <w:u w:val="single"/>
        </w:rPr>
      </w:pPr>
      <w:r>
        <w:rPr>
          <w:rFonts w:cs="Arial"/>
          <w:b/>
          <w:sz w:val="20"/>
          <w:u w:val="single"/>
        </w:rPr>
        <w:t>dočasný zábor pozemku v rámci stavby „</w:t>
      </w:r>
      <w:r w:rsidR="0079436C">
        <w:rPr>
          <w:rFonts w:cs="Arial"/>
          <w:b/>
          <w:sz w:val="20"/>
          <w:u w:val="single"/>
        </w:rPr>
        <w:t>Výstavba areálu HZS Přerov, IO 01 – Vodovodní přípojka, IO 03.04 – Vnitřní areálový vodovod</w:t>
      </w:r>
      <w:r>
        <w:rPr>
          <w:rFonts w:cs="Arial"/>
          <w:b/>
          <w:sz w:val="20"/>
          <w:u w:val="single"/>
        </w:rPr>
        <w:t>“</w:t>
      </w:r>
    </w:p>
    <w:p w:rsidR="00BE43D0" w:rsidRDefault="00BE43D0" w:rsidP="00BE43D0">
      <w:pPr>
        <w:tabs>
          <w:tab w:val="clear" w:pos="567"/>
        </w:tabs>
        <w:spacing w:before="120"/>
        <w:ind w:left="284"/>
        <w:rPr>
          <w:rFonts w:cs="Arial"/>
          <w:sz w:val="20"/>
        </w:rPr>
      </w:pPr>
      <w:r w:rsidRPr="00206ED6">
        <w:rPr>
          <w:rFonts w:cs="Arial"/>
          <w:sz w:val="20"/>
        </w:rPr>
        <w:t>a to způsobem neohrožujícím životní prostředí a bezpečnost provozu železniční dopravy.</w:t>
      </w:r>
    </w:p>
    <w:p w:rsidR="00BE43D0" w:rsidRPr="00206ED6" w:rsidRDefault="00BE43D0" w:rsidP="00BE43D0">
      <w:pPr>
        <w:tabs>
          <w:tab w:val="clear" w:pos="567"/>
        </w:tabs>
        <w:ind w:left="284"/>
        <w:rPr>
          <w:rFonts w:cs="Arial"/>
          <w:sz w:val="20"/>
        </w:rPr>
      </w:pPr>
    </w:p>
    <w:p w:rsidR="00BE43D0" w:rsidRPr="00697744" w:rsidRDefault="00BE43D0" w:rsidP="00BE43D0">
      <w:pPr>
        <w:pStyle w:val="Zkladntext3"/>
        <w:ind w:left="284" w:hanging="284"/>
        <w:rPr>
          <w:rFonts w:cs="Arial"/>
          <w:sz w:val="20"/>
        </w:rPr>
      </w:pPr>
      <w:r>
        <w:rPr>
          <w:rFonts w:cs="Arial"/>
          <w:sz w:val="20"/>
          <w:szCs w:val="20"/>
        </w:rPr>
        <w:t>2.</w:t>
      </w:r>
      <w:r>
        <w:rPr>
          <w:rFonts w:cs="Arial"/>
          <w:sz w:val="20"/>
          <w:szCs w:val="20"/>
        </w:rPr>
        <w:tab/>
      </w:r>
      <w:r w:rsidRPr="00697744">
        <w:rPr>
          <w:rFonts w:cs="Arial"/>
          <w:sz w:val="20"/>
        </w:rPr>
        <w:t>Nájemce nemá bez</w:t>
      </w:r>
      <w:r>
        <w:rPr>
          <w:rFonts w:cs="Arial"/>
          <w:sz w:val="20"/>
        </w:rPr>
        <w:t xml:space="preserve"> předchozího písemného souhlasu p</w:t>
      </w:r>
      <w:r w:rsidRPr="00697744">
        <w:rPr>
          <w:rFonts w:cs="Arial"/>
          <w:sz w:val="20"/>
        </w:rPr>
        <w:t>ronajímatele právo provozovat jinou činnost nebo změnit způsob či podmínky jejího výkonu, než jak to vyplývá z účelu nájmu, a to ani v případě nepodepsané změny ve smyslu § 2304 zákona č. 89/2012 Sb., občanský zákoník, v platném znění.</w:t>
      </w:r>
    </w:p>
    <w:p w:rsidR="00BE43D0" w:rsidRPr="00206ED6" w:rsidRDefault="00BE43D0" w:rsidP="00BE43D0">
      <w:pPr>
        <w:pStyle w:val="Zkladntext3"/>
        <w:spacing w:after="0"/>
        <w:rPr>
          <w:rFonts w:cs="Arial"/>
          <w:sz w:val="20"/>
          <w:szCs w:val="20"/>
        </w:rPr>
      </w:pPr>
    </w:p>
    <w:p w:rsidR="00BE43D0" w:rsidRPr="00206ED6" w:rsidRDefault="00D07EAE" w:rsidP="00D07EAE">
      <w:pPr>
        <w:pStyle w:val="Zkladntext3"/>
        <w:jc w:val="center"/>
        <w:rPr>
          <w:rFonts w:cs="Arial"/>
          <w:b/>
          <w:sz w:val="20"/>
          <w:szCs w:val="20"/>
        </w:rPr>
      </w:pPr>
      <w:r>
        <w:rPr>
          <w:rFonts w:cs="Arial"/>
          <w:b/>
          <w:sz w:val="20"/>
          <w:szCs w:val="20"/>
        </w:rPr>
        <w:t>III. Výše nájemného</w:t>
      </w:r>
    </w:p>
    <w:p w:rsidR="00BE43D0" w:rsidRDefault="00BE43D0" w:rsidP="00BE43D0">
      <w:pPr>
        <w:widowControl/>
        <w:numPr>
          <w:ilvl w:val="12"/>
          <w:numId w:val="0"/>
        </w:numPr>
        <w:tabs>
          <w:tab w:val="clear" w:pos="284"/>
          <w:tab w:val="clear" w:pos="567"/>
          <w:tab w:val="clear" w:pos="851"/>
          <w:tab w:val="clear" w:pos="1134"/>
          <w:tab w:val="clear" w:pos="1418"/>
          <w:tab w:val="clear" w:pos="1701"/>
          <w:tab w:val="clear" w:pos="1985"/>
          <w:tab w:val="clear" w:pos="2268"/>
          <w:tab w:val="clear" w:pos="2552"/>
          <w:tab w:val="clear" w:pos="2835"/>
        </w:tabs>
        <w:overflowPunct/>
        <w:autoSpaceDE/>
        <w:autoSpaceDN/>
        <w:adjustRightInd/>
        <w:ind w:left="284" w:hanging="284"/>
        <w:textAlignment w:val="auto"/>
        <w:rPr>
          <w:rFonts w:cs="Arial"/>
          <w:sz w:val="20"/>
        </w:rPr>
      </w:pPr>
      <w:r>
        <w:rPr>
          <w:rFonts w:cs="Arial"/>
          <w:sz w:val="20"/>
        </w:rPr>
        <w:t xml:space="preserve">1.  </w:t>
      </w:r>
      <w:r w:rsidRPr="007E5E3C">
        <w:rPr>
          <w:rFonts w:cs="Arial"/>
          <w:sz w:val="20"/>
        </w:rPr>
        <w:t>Nájemce zaplatí pronajímateli za užívání předmětu nájmu smluvní nájemné, které činí</w:t>
      </w:r>
      <w:r>
        <w:rPr>
          <w:rFonts w:cs="Arial"/>
          <w:sz w:val="20"/>
        </w:rPr>
        <w:t>:</w:t>
      </w:r>
      <w:r w:rsidRPr="007E5E3C">
        <w:rPr>
          <w:rFonts w:cs="Arial"/>
          <w:sz w:val="20"/>
        </w:rPr>
        <w:t xml:space="preserve"> </w:t>
      </w:r>
    </w:p>
    <w:p w:rsidR="00BE43D0" w:rsidRDefault="00426588" w:rsidP="00BE43D0">
      <w:pPr>
        <w:widowControl/>
        <w:numPr>
          <w:ilvl w:val="12"/>
          <w:numId w:val="0"/>
        </w:numPr>
        <w:tabs>
          <w:tab w:val="clear" w:pos="284"/>
          <w:tab w:val="clear" w:pos="567"/>
          <w:tab w:val="clear" w:pos="851"/>
          <w:tab w:val="clear" w:pos="1134"/>
          <w:tab w:val="clear" w:pos="1418"/>
          <w:tab w:val="clear" w:pos="1701"/>
          <w:tab w:val="clear" w:pos="1985"/>
          <w:tab w:val="clear" w:pos="2268"/>
          <w:tab w:val="clear" w:pos="2552"/>
          <w:tab w:val="clear" w:pos="2835"/>
        </w:tabs>
        <w:overflowPunct/>
        <w:autoSpaceDE/>
        <w:autoSpaceDN/>
        <w:adjustRightInd/>
        <w:ind w:left="284"/>
        <w:textAlignment w:val="auto"/>
        <w:rPr>
          <w:rFonts w:cs="Arial"/>
          <w:sz w:val="20"/>
        </w:rPr>
      </w:pPr>
      <w:r>
        <w:rPr>
          <w:rFonts w:cs="Arial"/>
          <w:sz w:val="20"/>
        </w:rPr>
        <w:t xml:space="preserve">7 980,00 Kč/rok </w:t>
      </w:r>
      <w:r w:rsidR="00BE43D0" w:rsidRPr="00B435AA">
        <w:rPr>
          <w:rFonts w:cs="Arial"/>
          <w:sz w:val="20"/>
        </w:rPr>
        <w:t>+</w:t>
      </w:r>
      <w:r w:rsidR="00571D2E" w:rsidRPr="00B435AA">
        <w:rPr>
          <w:rFonts w:cs="Arial"/>
          <w:sz w:val="20"/>
        </w:rPr>
        <w:t xml:space="preserve"> </w:t>
      </w:r>
      <w:r w:rsidR="00BE43D0" w:rsidRPr="00B435AA">
        <w:rPr>
          <w:rFonts w:cs="Arial"/>
          <w:sz w:val="20"/>
        </w:rPr>
        <w:t>DPH</w:t>
      </w:r>
      <w:r w:rsidR="00BE43D0">
        <w:rPr>
          <w:rFonts w:cs="Arial"/>
          <w:sz w:val="20"/>
        </w:rPr>
        <w:t xml:space="preserve"> zákonem stanovené výši</w:t>
      </w:r>
    </w:p>
    <w:p w:rsidR="00BE43D0" w:rsidRDefault="00BE43D0" w:rsidP="00BE43D0">
      <w:pPr>
        <w:widowControl/>
        <w:numPr>
          <w:ilvl w:val="12"/>
          <w:numId w:val="0"/>
        </w:numPr>
        <w:tabs>
          <w:tab w:val="clear" w:pos="284"/>
          <w:tab w:val="clear" w:pos="567"/>
          <w:tab w:val="clear" w:pos="851"/>
          <w:tab w:val="clear" w:pos="1134"/>
          <w:tab w:val="clear" w:pos="1418"/>
          <w:tab w:val="clear" w:pos="1701"/>
          <w:tab w:val="clear" w:pos="1985"/>
          <w:tab w:val="clear" w:pos="2268"/>
          <w:tab w:val="clear" w:pos="2552"/>
          <w:tab w:val="clear" w:pos="2835"/>
        </w:tabs>
        <w:overflowPunct/>
        <w:autoSpaceDE/>
        <w:autoSpaceDN/>
        <w:adjustRightInd/>
        <w:ind w:left="284"/>
        <w:textAlignment w:val="auto"/>
        <w:rPr>
          <w:rFonts w:cs="Arial"/>
          <w:sz w:val="20"/>
        </w:rPr>
      </w:pPr>
    </w:p>
    <w:p w:rsidR="00BE43D0" w:rsidRPr="00AB4FD7" w:rsidRDefault="00BE43D0" w:rsidP="00BE43D0">
      <w:pPr>
        <w:widowControl/>
        <w:numPr>
          <w:ilvl w:val="12"/>
          <w:numId w:val="0"/>
        </w:numPr>
        <w:tabs>
          <w:tab w:val="clear" w:pos="284"/>
          <w:tab w:val="clear" w:pos="567"/>
          <w:tab w:val="clear" w:pos="851"/>
          <w:tab w:val="clear" w:pos="1134"/>
          <w:tab w:val="clear" w:pos="1418"/>
          <w:tab w:val="clear" w:pos="1701"/>
          <w:tab w:val="clear" w:pos="1985"/>
          <w:tab w:val="clear" w:pos="2268"/>
          <w:tab w:val="clear" w:pos="2552"/>
          <w:tab w:val="clear" w:pos="2835"/>
        </w:tabs>
        <w:overflowPunct/>
        <w:autoSpaceDE/>
        <w:autoSpaceDN/>
        <w:adjustRightInd/>
        <w:spacing w:before="120" w:after="120"/>
        <w:ind w:left="284"/>
        <w:textAlignment w:val="auto"/>
        <w:rPr>
          <w:rFonts w:cs="Arial"/>
          <w:sz w:val="20"/>
        </w:rPr>
      </w:pPr>
      <w:r w:rsidRPr="00AB4FD7">
        <w:rPr>
          <w:rFonts w:cs="Arial"/>
          <w:sz w:val="20"/>
        </w:rPr>
        <w:t xml:space="preserve">Výše smluvního nájemného vyplývá z následujícího výpočtu: </w:t>
      </w:r>
    </w:p>
    <w:tbl>
      <w:tblPr>
        <w:tblW w:w="8363"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CellMar>
          <w:left w:w="112" w:type="dxa"/>
          <w:right w:w="112" w:type="dxa"/>
        </w:tblCellMar>
        <w:tblLook w:val="0000" w:firstRow="0" w:lastRow="0" w:firstColumn="0" w:lastColumn="0" w:noHBand="0" w:noVBand="0"/>
      </w:tblPr>
      <w:tblGrid>
        <w:gridCol w:w="3260"/>
        <w:gridCol w:w="1275"/>
        <w:gridCol w:w="1349"/>
        <w:gridCol w:w="1417"/>
        <w:gridCol w:w="1062"/>
      </w:tblGrid>
      <w:tr w:rsidR="00BE43D0" w:rsidRPr="00AB1D74" w:rsidTr="007A2F35">
        <w:trPr>
          <w:trHeight w:val="640"/>
          <w:jc w:val="center"/>
        </w:trPr>
        <w:tc>
          <w:tcPr>
            <w:tcW w:w="3260" w:type="dxa"/>
            <w:shd w:val="clear" w:color="000000" w:fill="auto"/>
            <w:vAlign w:val="center"/>
          </w:tcPr>
          <w:p w:rsidR="00BE43D0" w:rsidRPr="007A21A8" w:rsidRDefault="00BE43D0" w:rsidP="000B303F">
            <w:pPr>
              <w:jc w:val="left"/>
              <w:rPr>
                <w:rFonts w:cs="Arial"/>
                <w:sz w:val="20"/>
              </w:rPr>
            </w:pPr>
            <w:r w:rsidRPr="007A21A8">
              <w:rPr>
                <w:rFonts w:cs="Arial"/>
                <w:sz w:val="20"/>
              </w:rPr>
              <w:t xml:space="preserve">Předmět nájmu </w:t>
            </w:r>
          </w:p>
        </w:tc>
        <w:tc>
          <w:tcPr>
            <w:tcW w:w="1275" w:type="dxa"/>
            <w:shd w:val="clear" w:color="000000" w:fill="auto"/>
            <w:vAlign w:val="center"/>
          </w:tcPr>
          <w:p w:rsidR="00BE43D0" w:rsidRPr="007A21A8" w:rsidRDefault="00BE43D0" w:rsidP="000B303F">
            <w:pPr>
              <w:jc w:val="center"/>
              <w:rPr>
                <w:rFonts w:cs="Arial"/>
                <w:sz w:val="20"/>
              </w:rPr>
            </w:pPr>
            <w:r w:rsidRPr="007A21A8">
              <w:rPr>
                <w:rFonts w:cs="Arial"/>
                <w:sz w:val="20"/>
              </w:rPr>
              <w:t>Základní sazba  Kč/m</w:t>
            </w:r>
            <w:r w:rsidRPr="007A21A8">
              <w:rPr>
                <w:rFonts w:cs="Arial"/>
                <w:sz w:val="20"/>
                <w:vertAlign w:val="superscript"/>
              </w:rPr>
              <w:t>2</w:t>
            </w:r>
            <w:r w:rsidRPr="007A21A8">
              <w:rPr>
                <w:rFonts w:cs="Arial"/>
                <w:sz w:val="20"/>
              </w:rPr>
              <w:t>/rok</w:t>
            </w:r>
          </w:p>
        </w:tc>
        <w:tc>
          <w:tcPr>
            <w:tcW w:w="1349" w:type="dxa"/>
            <w:shd w:val="clear" w:color="000000" w:fill="auto"/>
            <w:vAlign w:val="center"/>
          </w:tcPr>
          <w:p w:rsidR="00BE43D0" w:rsidRPr="007A21A8" w:rsidRDefault="00BE43D0" w:rsidP="000B303F">
            <w:pPr>
              <w:jc w:val="center"/>
              <w:rPr>
                <w:rFonts w:cs="Arial"/>
                <w:sz w:val="20"/>
                <w:vertAlign w:val="superscript"/>
              </w:rPr>
            </w:pPr>
            <w:r w:rsidRPr="007A21A8">
              <w:rPr>
                <w:rFonts w:cs="Arial"/>
                <w:sz w:val="20"/>
              </w:rPr>
              <w:t>Výměra m</w:t>
            </w:r>
            <w:r w:rsidRPr="007A21A8">
              <w:rPr>
                <w:rFonts w:cs="Arial"/>
                <w:sz w:val="20"/>
                <w:vertAlign w:val="superscript"/>
              </w:rPr>
              <w:t>2</w:t>
            </w:r>
          </w:p>
        </w:tc>
        <w:tc>
          <w:tcPr>
            <w:tcW w:w="1417" w:type="dxa"/>
            <w:shd w:val="clear" w:color="000000" w:fill="auto"/>
            <w:vAlign w:val="center"/>
          </w:tcPr>
          <w:p w:rsidR="00BE43D0" w:rsidRPr="007A21A8" w:rsidRDefault="00BE43D0" w:rsidP="000B303F">
            <w:pPr>
              <w:jc w:val="center"/>
              <w:rPr>
                <w:rFonts w:cs="Arial"/>
                <w:sz w:val="20"/>
              </w:rPr>
            </w:pPr>
            <w:r w:rsidRPr="007A21A8">
              <w:rPr>
                <w:rFonts w:cs="Arial"/>
                <w:sz w:val="20"/>
              </w:rPr>
              <w:t xml:space="preserve">Nájemné </w:t>
            </w:r>
          </w:p>
          <w:p w:rsidR="00BE43D0" w:rsidRPr="007A21A8" w:rsidRDefault="00BE43D0" w:rsidP="000B303F">
            <w:pPr>
              <w:jc w:val="center"/>
              <w:rPr>
                <w:rFonts w:cs="Arial"/>
                <w:sz w:val="20"/>
              </w:rPr>
            </w:pPr>
            <w:r w:rsidRPr="007A21A8">
              <w:rPr>
                <w:rFonts w:cs="Arial"/>
                <w:sz w:val="20"/>
              </w:rPr>
              <w:t>Kč/rok</w:t>
            </w:r>
          </w:p>
        </w:tc>
        <w:tc>
          <w:tcPr>
            <w:tcW w:w="1062" w:type="dxa"/>
            <w:shd w:val="clear" w:color="000000" w:fill="auto"/>
            <w:vAlign w:val="center"/>
          </w:tcPr>
          <w:p w:rsidR="00BE43D0" w:rsidRPr="007A21A8" w:rsidRDefault="005B20D2" w:rsidP="000B303F">
            <w:pPr>
              <w:jc w:val="center"/>
              <w:rPr>
                <w:rFonts w:cs="Arial"/>
                <w:sz w:val="20"/>
              </w:rPr>
            </w:pPr>
            <w:r>
              <w:rPr>
                <w:rFonts w:cs="Arial"/>
                <w:sz w:val="20"/>
              </w:rPr>
              <w:t>DPH 21</w:t>
            </w:r>
            <w:r w:rsidR="00BE43D0" w:rsidRPr="007A21A8">
              <w:rPr>
                <w:rFonts w:cs="Arial"/>
                <w:sz w:val="20"/>
              </w:rPr>
              <w:t>%</w:t>
            </w:r>
          </w:p>
        </w:tc>
      </w:tr>
      <w:tr w:rsidR="00EC37E4" w:rsidRPr="00AB1D74" w:rsidTr="007A2F35">
        <w:trPr>
          <w:jc w:val="center"/>
        </w:trPr>
        <w:tc>
          <w:tcPr>
            <w:tcW w:w="3260" w:type="dxa"/>
            <w:shd w:val="clear" w:color="000000" w:fill="auto"/>
            <w:vAlign w:val="center"/>
          </w:tcPr>
          <w:p w:rsidR="00EC37E4" w:rsidRDefault="005B598A" w:rsidP="00A949E2">
            <w:pPr>
              <w:spacing w:line="180" w:lineRule="atLeast"/>
              <w:jc w:val="left"/>
              <w:rPr>
                <w:rFonts w:cs="Arial"/>
                <w:sz w:val="20"/>
              </w:rPr>
            </w:pPr>
            <w:r>
              <w:rPr>
                <w:rFonts w:cs="Arial"/>
                <w:sz w:val="20"/>
              </w:rPr>
              <w:t>č</w:t>
            </w:r>
            <w:r w:rsidR="002C668F">
              <w:rPr>
                <w:rFonts w:cs="Arial"/>
                <w:sz w:val="20"/>
              </w:rPr>
              <w:t xml:space="preserve">ást pozemku p. č. </w:t>
            </w:r>
            <w:r w:rsidR="0079436C">
              <w:rPr>
                <w:rFonts w:cs="Arial"/>
                <w:sz w:val="20"/>
              </w:rPr>
              <w:t>5753</w:t>
            </w:r>
            <w:r w:rsidR="00A949E2">
              <w:rPr>
                <w:rFonts w:cs="Arial"/>
                <w:sz w:val="20"/>
              </w:rPr>
              <w:t>/1</w:t>
            </w:r>
          </w:p>
        </w:tc>
        <w:tc>
          <w:tcPr>
            <w:tcW w:w="1275" w:type="dxa"/>
            <w:shd w:val="clear" w:color="000000" w:fill="auto"/>
            <w:vAlign w:val="center"/>
          </w:tcPr>
          <w:p w:rsidR="00EC37E4" w:rsidRDefault="0079436C" w:rsidP="004E0716">
            <w:pPr>
              <w:spacing w:line="180" w:lineRule="atLeast"/>
              <w:jc w:val="center"/>
              <w:rPr>
                <w:rFonts w:cs="Arial"/>
                <w:sz w:val="20"/>
              </w:rPr>
            </w:pPr>
            <w:r>
              <w:rPr>
                <w:rFonts w:cs="Arial"/>
                <w:sz w:val="20"/>
              </w:rPr>
              <w:t>100</w:t>
            </w:r>
            <w:r w:rsidR="00A949E2">
              <w:rPr>
                <w:rFonts w:cs="Arial"/>
                <w:sz w:val="20"/>
              </w:rPr>
              <w:t>,00</w:t>
            </w:r>
          </w:p>
        </w:tc>
        <w:tc>
          <w:tcPr>
            <w:tcW w:w="1349" w:type="dxa"/>
            <w:shd w:val="clear" w:color="000000" w:fill="auto"/>
            <w:vAlign w:val="center"/>
          </w:tcPr>
          <w:p w:rsidR="00EC37E4" w:rsidRDefault="0079436C" w:rsidP="005A1F11">
            <w:pPr>
              <w:spacing w:line="180" w:lineRule="atLeast"/>
              <w:jc w:val="center"/>
              <w:rPr>
                <w:rFonts w:cs="Arial"/>
                <w:sz w:val="20"/>
              </w:rPr>
            </w:pPr>
            <w:r>
              <w:rPr>
                <w:rFonts w:cs="Arial"/>
                <w:sz w:val="20"/>
              </w:rPr>
              <w:t>7</w:t>
            </w:r>
            <w:r w:rsidR="00A949E2">
              <w:rPr>
                <w:rFonts w:cs="Arial"/>
                <w:sz w:val="20"/>
              </w:rPr>
              <w:t>,00</w:t>
            </w:r>
          </w:p>
        </w:tc>
        <w:tc>
          <w:tcPr>
            <w:tcW w:w="1417" w:type="dxa"/>
            <w:shd w:val="clear" w:color="000000" w:fill="auto"/>
            <w:vAlign w:val="center"/>
          </w:tcPr>
          <w:p w:rsidR="00EC37E4" w:rsidRDefault="0079436C" w:rsidP="007B06B0">
            <w:pPr>
              <w:spacing w:line="180" w:lineRule="atLeast"/>
              <w:jc w:val="center"/>
              <w:rPr>
                <w:rFonts w:cs="Arial"/>
                <w:sz w:val="20"/>
              </w:rPr>
            </w:pPr>
            <w:r>
              <w:rPr>
                <w:rFonts w:cs="Arial"/>
                <w:sz w:val="20"/>
              </w:rPr>
              <w:t>700</w:t>
            </w:r>
            <w:r w:rsidR="00A949E2" w:rsidRPr="00A949E2">
              <w:rPr>
                <w:rFonts w:cs="Arial"/>
                <w:sz w:val="20"/>
              </w:rPr>
              <w:t>,00</w:t>
            </w:r>
          </w:p>
        </w:tc>
        <w:tc>
          <w:tcPr>
            <w:tcW w:w="1062" w:type="dxa"/>
            <w:shd w:val="clear" w:color="000000" w:fill="auto"/>
            <w:vAlign w:val="center"/>
          </w:tcPr>
          <w:p w:rsidR="00EC37E4" w:rsidRPr="007A21A8" w:rsidRDefault="00571D2E" w:rsidP="007B06B0">
            <w:pPr>
              <w:spacing w:line="180" w:lineRule="atLeast"/>
              <w:jc w:val="center"/>
              <w:rPr>
                <w:rFonts w:cs="Arial"/>
                <w:sz w:val="20"/>
              </w:rPr>
            </w:pPr>
            <w:r>
              <w:rPr>
                <w:rFonts w:cs="Arial"/>
                <w:sz w:val="20"/>
              </w:rPr>
              <w:t>+ DPH</w:t>
            </w:r>
          </w:p>
        </w:tc>
      </w:tr>
      <w:tr w:rsidR="0079436C" w:rsidRPr="00AB1D74" w:rsidTr="007A2F35">
        <w:trPr>
          <w:jc w:val="center"/>
        </w:trPr>
        <w:tc>
          <w:tcPr>
            <w:tcW w:w="3260" w:type="dxa"/>
            <w:shd w:val="clear" w:color="000000" w:fill="auto"/>
            <w:vAlign w:val="center"/>
          </w:tcPr>
          <w:p w:rsidR="0079436C" w:rsidRDefault="0079436C" w:rsidP="00A949E2">
            <w:pPr>
              <w:spacing w:line="180" w:lineRule="atLeast"/>
              <w:jc w:val="left"/>
              <w:rPr>
                <w:rFonts w:cs="Arial"/>
                <w:sz w:val="20"/>
              </w:rPr>
            </w:pPr>
            <w:r>
              <w:rPr>
                <w:rFonts w:cs="Arial"/>
                <w:sz w:val="20"/>
              </w:rPr>
              <w:t>Část pozemku p.č. 6868/83</w:t>
            </w:r>
          </w:p>
        </w:tc>
        <w:tc>
          <w:tcPr>
            <w:tcW w:w="1275" w:type="dxa"/>
            <w:shd w:val="clear" w:color="000000" w:fill="auto"/>
            <w:vAlign w:val="center"/>
          </w:tcPr>
          <w:p w:rsidR="0079436C" w:rsidRDefault="0079436C" w:rsidP="004E0716">
            <w:pPr>
              <w:spacing w:line="180" w:lineRule="atLeast"/>
              <w:jc w:val="center"/>
              <w:rPr>
                <w:rFonts w:cs="Arial"/>
                <w:sz w:val="20"/>
              </w:rPr>
            </w:pPr>
            <w:r>
              <w:rPr>
                <w:rFonts w:cs="Arial"/>
                <w:sz w:val="20"/>
              </w:rPr>
              <w:t>100,00</w:t>
            </w:r>
          </w:p>
        </w:tc>
        <w:tc>
          <w:tcPr>
            <w:tcW w:w="1349" w:type="dxa"/>
            <w:shd w:val="clear" w:color="000000" w:fill="auto"/>
            <w:vAlign w:val="center"/>
          </w:tcPr>
          <w:p w:rsidR="0079436C" w:rsidRDefault="0079436C" w:rsidP="0079436C">
            <w:pPr>
              <w:spacing w:line="180" w:lineRule="atLeast"/>
              <w:rPr>
                <w:rFonts w:cs="Arial"/>
                <w:sz w:val="20"/>
              </w:rPr>
            </w:pPr>
            <w:r>
              <w:rPr>
                <w:rFonts w:cs="Arial"/>
                <w:sz w:val="20"/>
              </w:rPr>
              <w:t xml:space="preserve">      </w:t>
            </w:r>
            <w:r w:rsidR="00426588">
              <w:rPr>
                <w:rFonts w:cs="Arial"/>
                <w:sz w:val="20"/>
              </w:rPr>
              <w:t>72,8</w:t>
            </w:r>
            <w:r>
              <w:rPr>
                <w:rFonts w:cs="Arial"/>
                <w:sz w:val="20"/>
              </w:rPr>
              <w:t>0</w:t>
            </w:r>
          </w:p>
        </w:tc>
        <w:tc>
          <w:tcPr>
            <w:tcW w:w="1417" w:type="dxa"/>
            <w:shd w:val="clear" w:color="000000" w:fill="auto"/>
            <w:vAlign w:val="center"/>
          </w:tcPr>
          <w:p w:rsidR="0079436C" w:rsidRPr="00A949E2" w:rsidRDefault="00426588" w:rsidP="007B06B0">
            <w:pPr>
              <w:spacing w:line="180" w:lineRule="atLeast"/>
              <w:jc w:val="center"/>
              <w:rPr>
                <w:rFonts w:cs="Arial"/>
                <w:sz w:val="20"/>
              </w:rPr>
            </w:pPr>
            <w:r>
              <w:rPr>
                <w:rFonts w:cs="Arial"/>
                <w:sz w:val="20"/>
              </w:rPr>
              <w:t>7 28</w:t>
            </w:r>
            <w:r w:rsidR="0079436C">
              <w:rPr>
                <w:rFonts w:cs="Arial"/>
                <w:sz w:val="20"/>
              </w:rPr>
              <w:t>0,00</w:t>
            </w:r>
          </w:p>
        </w:tc>
        <w:tc>
          <w:tcPr>
            <w:tcW w:w="1062" w:type="dxa"/>
            <w:shd w:val="clear" w:color="000000" w:fill="auto"/>
            <w:vAlign w:val="center"/>
          </w:tcPr>
          <w:p w:rsidR="0079436C" w:rsidRDefault="00426588" w:rsidP="007B06B0">
            <w:pPr>
              <w:spacing w:line="180" w:lineRule="atLeast"/>
              <w:jc w:val="center"/>
              <w:rPr>
                <w:rFonts w:cs="Arial"/>
                <w:sz w:val="20"/>
              </w:rPr>
            </w:pPr>
            <w:r>
              <w:rPr>
                <w:rFonts w:cs="Arial"/>
                <w:sz w:val="20"/>
              </w:rPr>
              <w:t>+ DPH</w:t>
            </w:r>
          </w:p>
        </w:tc>
      </w:tr>
      <w:tr w:rsidR="00BE43D0" w:rsidRPr="00AB1D74" w:rsidTr="007A2F35">
        <w:trPr>
          <w:jc w:val="center"/>
        </w:trPr>
        <w:tc>
          <w:tcPr>
            <w:tcW w:w="3260" w:type="dxa"/>
            <w:shd w:val="clear" w:color="000000" w:fill="auto"/>
            <w:vAlign w:val="center"/>
          </w:tcPr>
          <w:p w:rsidR="00BE43D0" w:rsidRPr="0079436C" w:rsidRDefault="00BE43D0" w:rsidP="000B303F">
            <w:pPr>
              <w:spacing w:line="180" w:lineRule="atLeast"/>
              <w:jc w:val="center"/>
              <w:rPr>
                <w:rFonts w:cs="Arial"/>
                <w:b/>
                <w:sz w:val="20"/>
              </w:rPr>
            </w:pPr>
            <w:r w:rsidRPr="0079436C">
              <w:rPr>
                <w:rFonts w:cs="Arial"/>
                <w:b/>
                <w:sz w:val="20"/>
              </w:rPr>
              <w:t>celkem</w:t>
            </w:r>
          </w:p>
        </w:tc>
        <w:tc>
          <w:tcPr>
            <w:tcW w:w="1275" w:type="dxa"/>
            <w:shd w:val="clear" w:color="000000" w:fill="auto"/>
            <w:vAlign w:val="center"/>
          </w:tcPr>
          <w:p w:rsidR="00BE43D0" w:rsidRPr="0079436C" w:rsidRDefault="00BE43D0" w:rsidP="000B303F">
            <w:pPr>
              <w:jc w:val="center"/>
              <w:rPr>
                <w:rFonts w:cs="Arial"/>
                <w:b/>
                <w:sz w:val="20"/>
              </w:rPr>
            </w:pPr>
          </w:p>
        </w:tc>
        <w:tc>
          <w:tcPr>
            <w:tcW w:w="1349" w:type="dxa"/>
            <w:shd w:val="clear" w:color="000000" w:fill="auto"/>
            <w:vAlign w:val="center"/>
          </w:tcPr>
          <w:p w:rsidR="00BE43D0" w:rsidRPr="0079436C" w:rsidRDefault="00BE43D0" w:rsidP="000B303F">
            <w:pPr>
              <w:spacing w:line="180" w:lineRule="atLeast"/>
              <w:jc w:val="center"/>
              <w:rPr>
                <w:rFonts w:cs="Arial"/>
                <w:b/>
                <w:sz w:val="20"/>
              </w:rPr>
            </w:pPr>
          </w:p>
        </w:tc>
        <w:tc>
          <w:tcPr>
            <w:tcW w:w="1417" w:type="dxa"/>
            <w:shd w:val="clear" w:color="000000" w:fill="auto"/>
            <w:vAlign w:val="center"/>
          </w:tcPr>
          <w:p w:rsidR="00BE43D0" w:rsidRPr="0079436C" w:rsidRDefault="0079436C" w:rsidP="000B303F">
            <w:pPr>
              <w:spacing w:line="180" w:lineRule="atLeast"/>
              <w:jc w:val="center"/>
              <w:rPr>
                <w:rFonts w:cs="Arial"/>
                <w:b/>
                <w:sz w:val="20"/>
              </w:rPr>
            </w:pPr>
            <w:r w:rsidRPr="0079436C">
              <w:rPr>
                <w:rFonts w:cs="Arial"/>
                <w:b/>
                <w:sz w:val="20"/>
              </w:rPr>
              <w:t>7</w:t>
            </w:r>
            <w:r w:rsidR="00426588">
              <w:rPr>
                <w:rFonts w:cs="Arial"/>
                <w:b/>
                <w:sz w:val="20"/>
              </w:rPr>
              <w:t xml:space="preserve"> 98</w:t>
            </w:r>
            <w:r w:rsidRPr="0079436C">
              <w:rPr>
                <w:rFonts w:cs="Arial"/>
                <w:b/>
                <w:sz w:val="20"/>
              </w:rPr>
              <w:t>0,00</w:t>
            </w:r>
          </w:p>
        </w:tc>
        <w:tc>
          <w:tcPr>
            <w:tcW w:w="1062" w:type="dxa"/>
            <w:shd w:val="clear" w:color="000000" w:fill="auto"/>
          </w:tcPr>
          <w:p w:rsidR="00BE43D0" w:rsidRPr="0079436C" w:rsidRDefault="00BE43D0" w:rsidP="00AA0B5B">
            <w:pPr>
              <w:jc w:val="center"/>
              <w:rPr>
                <w:b/>
                <w:sz w:val="20"/>
              </w:rPr>
            </w:pPr>
            <w:r w:rsidRPr="0079436C">
              <w:rPr>
                <w:rFonts w:cs="Arial"/>
                <w:b/>
                <w:sz w:val="20"/>
              </w:rPr>
              <w:t>+DPH</w:t>
            </w:r>
          </w:p>
        </w:tc>
      </w:tr>
    </w:tbl>
    <w:p w:rsidR="005F06A8" w:rsidRDefault="00B435AA" w:rsidP="00B435AA">
      <w:pPr>
        <w:spacing w:before="80"/>
        <w:ind w:left="284" w:hanging="284"/>
        <w:rPr>
          <w:rFonts w:cs="Arial"/>
          <w:sz w:val="20"/>
        </w:rPr>
      </w:pPr>
      <w:r w:rsidRPr="00206ED6">
        <w:rPr>
          <w:rFonts w:cs="Arial"/>
          <w:sz w:val="20"/>
        </w:rPr>
        <w:tab/>
      </w:r>
    </w:p>
    <w:p w:rsidR="00DD7C76" w:rsidRDefault="00D07EAE" w:rsidP="000A43B2">
      <w:pPr>
        <w:spacing w:before="80"/>
        <w:ind w:left="284" w:hanging="284"/>
        <w:rPr>
          <w:rFonts w:cs="Arial"/>
          <w:sz w:val="18"/>
          <w:szCs w:val="18"/>
        </w:rPr>
      </w:pPr>
      <w:r>
        <w:rPr>
          <w:rFonts w:cs="Arial"/>
          <w:sz w:val="20"/>
        </w:rPr>
        <w:t xml:space="preserve">     </w:t>
      </w:r>
      <w:r w:rsidR="00B435AA" w:rsidRPr="00206ED6">
        <w:rPr>
          <w:rFonts w:cs="Arial"/>
          <w:sz w:val="20"/>
        </w:rPr>
        <w:t xml:space="preserve">Celkové roční </w:t>
      </w:r>
      <w:r w:rsidR="005B598A">
        <w:rPr>
          <w:rFonts w:cs="Arial"/>
          <w:sz w:val="20"/>
        </w:rPr>
        <w:t>nájemné ve výši</w:t>
      </w:r>
      <w:r w:rsidR="007A2F35">
        <w:rPr>
          <w:rFonts w:cs="Arial"/>
          <w:sz w:val="20"/>
        </w:rPr>
        <w:t xml:space="preserve"> </w:t>
      </w:r>
      <w:r w:rsidR="0079436C">
        <w:rPr>
          <w:rFonts w:cs="Arial"/>
          <w:sz w:val="20"/>
        </w:rPr>
        <w:t>7</w:t>
      </w:r>
      <w:r w:rsidR="00426588">
        <w:rPr>
          <w:rFonts w:cs="Arial"/>
          <w:sz w:val="20"/>
        </w:rPr>
        <w:t xml:space="preserve"> 980</w:t>
      </w:r>
      <w:r w:rsidR="00A62080">
        <w:rPr>
          <w:rFonts w:cs="Arial"/>
          <w:sz w:val="20"/>
        </w:rPr>
        <w:t>,00</w:t>
      </w:r>
      <w:r w:rsidR="00E3753B">
        <w:rPr>
          <w:rFonts w:cs="Arial"/>
          <w:sz w:val="20"/>
        </w:rPr>
        <w:t xml:space="preserve"> </w:t>
      </w:r>
      <w:r w:rsidR="00B435AA" w:rsidRPr="00DB12E5">
        <w:rPr>
          <w:rFonts w:cs="Arial"/>
          <w:sz w:val="20"/>
        </w:rPr>
        <w:t>Kč + DPH (slovy:</w:t>
      </w:r>
      <w:r w:rsidR="00303DB5">
        <w:rPr>
          <w:rFonts w:cs="Arial"/>
          <w:sz w:val="20"/>
        </w:rPr>
        <w:t xml:space="preserve"> </w:t>
      </w:r>
      <w:r w:rsidR="00426588">
        <w:rPr>
          <w:rFonts w:cs="Arial"/>
          <w:sz w:val="20"/>
        </w:rPr>
        <w:t xml:space="preserve">sedmtisícdevětsetosmdesát </w:t>
      </w:r>
      <w:r w:rsidR="002C668F">
        <w:rPr>
          <w:rFonts w:cs="Arial"/>
          <w:sz w:val="20"/>
        </w:rPr>
        <w:t>korun českých</w:t>
      </w:r>
      <w:r w:rsidR="00B435AA">
        <w:rPr>
          <w:rFonts w:cs="Arial"/>
          <w:sz w:val="20"/>
        </w:rPr>
        <w:t xml:space="preserve">), </w:t>
      </w:r>
      <w:r w:rsidR="002C668F">
        <w:rPr>
          <w:rFonts w:cs="Arial"/>
          <w:sz w:val="20"/>
        </w:rPr>
        <w:t>je splatné v</w:t>
      </w:r>
      <w:r w:rsidR="00303DB5">
        <w:rPr>
          <w:rFonts w:cs="Arial"/>
          <w:sz w:val="20"/>
        </w:rPr>
        <w:t>e</w:t>
      </w:r>
      <w:r w:rsidR="002C668F">
        <w:rPr>
          <w:rFonts w:cs="Arial"/>
          <w:sz w:val="20"/>
        </w:rPr>
        <w:t xml:space="preserve"> </w:t>
      </w:r>
      <w:r w:rsidR="00303DB5">
        <w:rPr>
          <w:rFonts w:cs="Arial"/>
          <w:sz w:val="20"/>
        </w:rPr>
        <w:t>čtvrtletních</w:t>
      </w:r>
      <w:r w:rsidR="00B435AA" w:rsidRPr="00C770CD">
        <w:rPr>
          <w:rFonts w:cs="Arial"/>
          <w:sz w:val="20"/>
        </w:rPr>
        <w:t xml:space="preserve"> splátkách na bankovní účet pronajímatele (dle variabilního symbolu), specifikovaný v záhlaví </w:t>
      </w:r>
      <w:r w:rsidR="00B435AA" w:rsidRPr="00C65DFB">
        <w:rPr>
          <w:rFonts w:cs="Arial"/>
          <w:sz w:val="20"/>
        </w:rPr>
        <w:t>tét</w:t>
      </w:r>
      <w:r w:rsidR="00303DB5">
        <w:rPr>
          <w:rFonts w:cs="Arial"/>
          <w:sz w:val="20"/>
        </w:rPr>
        <w:t xml:space="preserve">o smlouvy, a to vždy do </w:t>
      </w:r>
      <w:r w:rsidR="00426588">
        <w:rPr>
          <w:rFonts w:cs="Arial"/>
          <w:sz w:val="20"/>
        </w:rPr>
        <w:t xml:space="preserve">05. dne prvního </w:t>
      </w:r>
      <w:r w:rsidR="00303DB5">
        <w:rPr>
          <w:rFonts w:cs="Arial"/>
          <w:sz w:val="20"/>
        </w:rPr>
        <w:t>měsíce daného čtvrtletí</w:t>
      </w:r>
      <w:r w:rsidR="002C668F" w:rsidRPr="00C65DFB">
        <w:rPr>
          <w:rFonts w:cs="Arial"/>
          <w:sz w:val="20"/>
        </w:rPr>
        <w:t xml:space="preserve">, </w:t>
      </w:r>
      <w:r w:rsidR="00426588" w:rsidRPr="00C65DFB">
        <w:rPr>
          <w:rFonts w:cs="Arial"/>
          <w:sz w:val="20"/>
        </w:rPr>
        <w:t xml:space="preserve">dle splátkového kalendáře, </w:t>
      </w:r>
      <w:r w:rsidR="00426588" w:rsidRPr="00190300">
        <w:rPr>
          <w:rFonts w:cs="Arial"/>
          <w:sz w:val="20"/>
        </w:rPr>
        <w:t>který bude vyhotoven po zahájení užívání</w:t>
      </w:r>
      <w:r w:rsidR="00426588">
        <w:rPr>
          <w:rFonts w:cs="Arial"/>
          <w:sz w:val="20"/>
        </w:rPr>
        <w:t>.</w:t>
      </w:r>
    </w:p>
    <w:p w:rsidR="000A43B2" w:rsidRPr="000A43B2" w:rsidRDefault="000A43B2" w:rsidP="000A43B2">
      <w:pPr>
        <w:spacing w:before="80"/>
        <w:ind w:left="284" w:hanging="284"/>
        <w:rPr>
          <w:rFonts w:cs="Arial"/>
          <w:sz w:val="18"/>
          <w:szCs w:val="18"/>
        </w:rPr>
      </w:pPr>
    </w:p>
    <w:p w:rsidR="00BE43D0" w:rsidRPr="00206ED6" w:rsidRDefault="00BE43D0" w:rsidP="00BE43D0">
      <w:pPr>
        <w:tabs>
          <w:tab w:val="clear" w:pos="567"/>
        </w:tabs>
        <w:ind w:left="284" w:hanging="284"/>
        <w:rPr>
          <w:rFonts w:cs="Arial"/>
          <w:sz w:val="20"/>
        </w:rPr>
      </w:pPr>
      <w:r>
        <w:rPr>
          <w:rFonts w:cs="Arial"/>
          <w:sz w:val="20"/>
        </w:rPr>
        <w:t>2.</w:t>
      </w:r>
      <w:r>
        <w:rPr>
          <w:rFonts w:cs="Arial"/>
          <w:sz w:val="20"/>
        </w:rPr>
        <w:tab/>
      </w:r>
      <w:r w:rsidRPr="00206ED6">
        <w:rPr>
          <w:rFonts w:cs="Arial"/>
          <w:sz w:val="20"/>
        </w:rPr>
        <w:t xml:space="preserve">Po splnění závazku na placení nájemného platí doručovací princip, tj. že splátka je splněna připsáním placené částky na účet pronajímatele u jeho banky. </w:t>
      </w:r>
    </w:p>
    <w:p w:rsidR="00BE43D0" w:rsidRPr="00926B82" w:rsidRDefault="00BE43D0" w:rsidP="00BE43D0">
      <w:pPr>
        <w:numPr>
          <w:ilvl w:val="0"/>
          <w:numId w:val="8"/>
        </w:numPr>
        <w:tabs>
          <w:tab w:val="clear" w:pos="567"/>
        </w:tabs>
        <w:ind w:left="284" w:hanging="284"/>
        <w:rPr>
          <w:rFonts w:cs="Arial"/>
          <w:sz w:val="20"/>
          <w:lang w:eastAsia="ar-SA"/>
        </w:rPr>
      </w:pPr>
      <w:r w:rsidRPr="00926B82">
        <w:rPr>
          <w:rFonts w:cs="Arial"/>
          <w:sz w:val="20"/>
          <w:lang w:eastAsia="ar-SA"/>
        </w:rPr>
        <w:t>Na základě ustanovení §56a odst. 3 zákona č. 235/2004 Sb., o dani z přidané hodnoty, ve znění pozdějších předpisů, (dále jen „ZDPH“), pronajímatel u předmětu nájmu specifikovaného v článku I. uplatní DPH ve výši dle platných právních předpisů.</w:t>
      </w:r>
    </w:p>
    <w:p w:rsidR="00BE43D0" w:rsidRPr="00206ED6" w:rsidRDefault="00BE43D0" w:rsidP="00BE43D0">
      <w:pPr>
        <w:numPr>
          <w:ilvl w:val="0"/>
          <w:numId w:val="8"/>
        </w:numPr>
        <w:tabs>
          <w:tab w:val="clear" w:pos="567"/>
          <w:tab w:val="left" w:pos="142"/>
          <w:tab w:val="left" w:pos="2127"/>
          <w:tab w:val="left" w:pos="3828"/>
        </w:tabs>
        <w:ind w:left="284" w:hanging="284"/>
        <w:rPr>
          <w:rFonts w:cs="Arial"/>
          <w:sz w:val="20"/>
        </w:rPr>
      </w:pPr>
      <w:r w:rsidRPr="00206ED6">
        <w:rPr>
          <w:rFonts w:cs="Arial"/>
          <w:sz w:val="20"/>
          <w:lang w:eastAsia="ar-SA"/>
        </w:rPr>
        <w:t>Nájemce se zavazuje oznámit pronaj</w:t>
      </w:r>
      <w:r w:rsidR="006D556A">
        <w:rPr>
          <w:rFonts w:cs="Arial"/>
          <w:sz w:val="20"/>
          <w:lang w:eastAsia="ar-SA"/>
        </w:rPr>
        <w:t>ímateli skutečnost, přestal být</w:t>
      </w:r>
      <w:r w:rsidRPr="00206ED6">
        <w:rPr>
          <w:rFonts w:cs="Arial"/>
          <w:sz w:val="20"/>
          <w:lang w:eastAsia="ar-SA"/>
        </w:rPr>
        <w:t xml:space="preserve"> plátcem DPH. V případě, že tak neučiní a proti pronajímateli budou z tohoto důvodu uplatněny správcem daně sankce, zavazuje se nájemce tyto sankce pronajímateli bez zbytečného odkladu uhradit.</w:t>
      </w:r>
    </w:p>
    <w:p w:rsidR="00BE43D0" w:rsidRPr="00206ED6" w:rsidRDefault="00BE43D0" w:rsidP="00BE43D0">
      <w:pPr>
        <w:numPr>
          <w:ilvl w:val="0"/>
          <w:numId w:val="8"/>
        </w:numPr>
        <w:tabs>
          <w:tab w:val="clear" w:pos="567"/>
          <w:tab w:val="left" w:pos="142"/>
          <w:tab w:val="left" w:pos="2127"/>
          <w:tab w:val="left" w:pos="3828"/>
        </w:tabs>
        <w:ind w:left="284" w:hanging="284"/>
        <w:rPr>
          <w:rFonts w:cs="Arial"/>
          <w:sz w:val="20"/>
        </w:rPr>
      </w:pPr>
      <w:r w:rsidRPr="00206ED6">
        <w:rPr>
          <w:rFonts w:cs="Arial"/>
          <w:sz w:val="20"/>
          <w:lang w:eastAsia="ar-SA"/>
        </w:rPr>
        <w:lastRenderedPageBreak/>
        <w:t xml:space="preserve">V případě prodlení nájemce s úhradou nájemného </w:t>
      </w:r>
      <w:r>
        <w:rPr>
          <w:rFonts w:cs="Arial"/>
          <w:sz w:val="20"/>
          <w:lang w:eastAsia="ar-SA"/>
        </w:rPr>
        <w:t>dle čl. III této smlouvy je</w:t>
      </w:r>
      <w:r w:rsidRPr="00206ED6">
        <w:rPr>
          <w:rFonts w:cs="Arial"/>
          <w:sz w:val="20"/>
          <w:lang w:eastAsia="ar-SA"/>
        </w:rPr>
        <w:t xml:space="preserve"> nájemce povinen zaplatit pronajímateli úroky z prodlení ve výši dle platných právních předpisů.  Zaplacením úroků z prodlení není dotčeno právo na náhradu škody.</w:t>
      </w:r>
    </w:p>
    <w:p w:rsidR="00BE43D0" w:rsidRPr="000B303F" w:rsidRDefault="00BE43D0" w:rsidP="00BE43D0">
      <w:pPr>
        <w:numPr>
          <w:ilvl w:val="0"/>
          <w:numId w:val="8"/>
        </w:numPr>
        <w:tabs>
          <w:tab w:val="clear" w:pos="567"/>
          <w:tab w:val="left" w:pos="142"/>
          <w:tab w:val="left" w:pos="2127"/>
          <w:tab w:val="left" w:pos="3828"/>
        </w:tabs>
        <w:ind w:left="284" w:hanging="284"/>
        <w:rPr>
          <w:rFonts w:cs="Arial"/>
          <w:sz w:val="20"/>
          <w:lang w:eastAsia="ar-SA"/>
        </w:rPr>
      </w:pPr>
      <w:r w:rsidRPr="000B303F">
        <w:rPr>
          <w:rFonts w:cs="Arial"/>
          <w:sz w:val="20"/>
          <w:lang w:eastAsia="ar-SA"/>
        </w:rPr>
        <w:t xml:space="preserve">Sjednanou výši ročního nájemného je pronajímatel </w:t>
      </w:r>
      <w:r w:rsidR="00A62080">
        <w:rPr>
          <w:rFonts w:cs="Arial"/>
          <w:sz w:val="20"/>
          <w:lang w:eastAsia="ar-SA"/>
        </w:rPr>
        <w:t>oprávněn každoročně od roku 2024</w:t>
      </w:r>
      <w:r w:rsidRPr="000B303F">
        <w:rPr>
          <w:rFonts w:cs="Arial"/>
          <w:sz w:val="20"/>
          <w:lang w:eastAsia="ar-SA"/>
        </w:rPr>
        <w:t xml:space="preserve"> upravit dosaženým indexem spotřebitelských cen a životních nákladů za posledních 12 měsíců předchozího roku (roční klouzavý průměr roku). Rozhodujícím údajem pro úpravu nájemného je dosažený index spotřebitelských cen a životních nákladů za předchozí rok, zveřejněný Českým statistickým úřadem v Aktuální statistické informaci ČSÚ. Úprava nájemného bude nájemci oznámena doporučeným dopisem. Základem pro úpravu výše nájemného je výše ročního nájemného, které bylo naposled sjednané v souladu s touto smlouvou, čímž se rozumí i nájemné upravené indexem spotřebitelských cen a životních nákladů za posledních 12 měsíců předchozího roku.</w:t>
      </w:r>
    </w:p>
    <w:p w:rsidR="00BE43D0" w:rsidRPr="000B303F" w:rsidRDefault="00BE43D0" w:rsidP="00BE43D0">
      <w:pPr>
        <w:numPr>
          <w:ilvl w:val="0"/>
          <w:numId w:val="8"/>
        </w:numPr>
        <w:tabs>
          <w:tab w:val="clear" w:pos="567"/>
          <w:tab w:val="left" w:pos="142"/>
          <w:tab w:val="left" w:pos="2127"/>
          <w:tab w:val="left" w:pos="3828"/>
        </w:tabs>
        <w:ind w:left="284" w:hanging="284"/>
        <w:rPr>
          <w:rFonts w:cs="Arial"/>
          <w:sz w:val="20"/>
          <w:lang w:eastAsia="ar-SA"/>
        </w:rPr>
      </w:pPr>
      <w:r w:rsidRPr="000B303F">
        <w:rPr>
          <w:rFonts w:cs="Arial"/>
          <w:sz w:val="20"/>
          <w:lang w:eastAsia="ar-SA"/>
        </w:rPr>
        <w:t xml:space="preserve">Výše nájemného bude upravována vždy od 1. ledna a do plateb bude promítána od dubna příslušného roku s doplatkem rozdílu, který představuje rozdíl mezi výší nájemného platného pro předcházející rok a výší nájemného upraveného dle příslušných ustanovení o inflaci dle tohoto odstavce za 1. čtvrtletí daného roku. </w:t>
      </w:r>
    </w:p>
    <w:p w:rsidR="00BE43D0" w:rsidRPr="000B303F" w:rsidRDefault="00BE43D0" w:rsidP="00BE43D0">
      <w:pPr>
        <w:numPr>
          <w:ilvl w:val="0"/>
          <w:numId w:val="8"/>
        </w:numPr>
        <w:tabs>
          <w:tab w:val="clear" w:pos="567"/>
          <w:tab w:val="left" w:pos="142"/>
          <w:tab w:val="left" w:pos="2127"/>
          <w:tab w:val="left" w:pos="3828"/>
        </w:tabs>
        <w:ind w:left="284" w:hanging="284"/>
        <w:rPr>
          <w:rFonts w:cs="Arial"/>
          <w:sz w:val="20"/>
          <w:lang w:eastAsia="ar-SA"/>
        </w:rPr>
      </w:pPr>
      <w:r w:rsidRPr="000B303F">
        <w:rPr>
          <w:rFonts w:cs="Arial"/>
          <w:sz w:val="20"/>
          <w:lang w:eastAsia="ar-SA"/>
        </w:rPr>
        <w:t>Pronajímatel je oprávněn za výše uvedených podmínek vyúčtovat upravené nájemné a nájemce je povinen upravené nájemné platit podle termínů dohodnutých ve splátkovém kalendáři. Smluvní strany dohodly výše uvedenou úpravu nájemného jako závazný způsob určení ceny nájemného pro další období v souladu s § 2, zákona 526/1990 Sb., o cenách, ve znění pozdějších právních předpisů.</w:t>
      </w:r>
    </w:p>
    <w:p w:rsidR="00571D2E" w:rsidRPr="00571D2E" w:rsidRDefault="00BE43D0" w:rsidP="00571D2E">
      <w:pPr>
        <w:numPr>
          <w:ilvl w:val="0"/>
          <w:numId w:val="8"/>
        </w:numPr>
        <w:tabs>
          <w:tab w:val="clear" w:pos="567"/>
          <w:tab w:val="left" w:pos="142"/>
          <w:tab w:val="left" w:pos="2127"/>
          <w:tab w:val="left" w:pos="3828"/>
        </w:tabs>
        <w:ind w:left="284" w:hanging="284"/>
        <w:rPr>
          <w:rFonts w:cs="Arial"/>
          <w:sz w:val="20"/>
        </w:rPr>
      </w:pPr>
      <w:r w:rsidRPr="005B05B9">
        <w:rPr>
          <w:rFonts w:cs="Arial"/>
          <w:sz w:val="20"/>
        </w:rPr>
        <w:t>Smluvní strany se dohodly, že nájemcem vynaložené náklady na pronajímatelem písemně povolené stavební úpravy, opravy nad rámec běžné údržby, se po dokončení stávají součástí majetku pronajímatele, tzn., že při ukončení nájemního vztahu se nájemce vzdává práva na úhradu nákladů (dle §2220 zákona 89/2012 Sb., Občanského zákoníku), které vynaložil na úpravy předmětu nájmu během (před započetím) nájemního vztahu, a to ani takových, k jejichž vynaložení mu pronajímatel udělil souhlas, pokud se smluvní strany nedohodnou dodatkem k této smlouvě jinak. Povolení stavebních úprav včetně výše ceny a zúčtování je povinen nájemce před realizací písemně projednat s pronajímatelem a neprodleně po dokončení protokolárně předat RSM Brno.</w:t>
      </w:r>
    </w:p>
    <w:p w:rsidR="00BE43D0" w:rsidRDefault="00BE43D0" w:rsidP="008E4EDA">
      <w:pPr>
        <w:numPr>
          <w:ilvl w:val="0"/>
          <w:numId w:val="8"/>
        </w:numPr>
        <w:tabs>
          <w:tab w:val="clear" w:pos="567"/>
          <w:tab w:val="left" w:pos="142"/>
          <w:tab w:val="left" w:pos="2127"/>
          <w:tab w:val="left" w:pos="3828"/>
        </w:tabs>
        <w:rPr>
          <w:rFonts w:cs="Arial"/>
          <w:sz w:val="20"/>
        </w:rPr>
      </w:pPr>
      <w:r w:rsidRPr="005B05B9">
        <w:rPr>
          <w:rFonts w:cs="Arial"/>
          <w:sz w:val="20"/>
        </w:rPr>
        <w:t>Nájemce nemá nárok na slevu nájemného z důvodů negativních vlivů běžného provozu železnice.</w:t>
      </w:r>
    </w:p>
    <w:p w:rsidR="00BE43D0" w:rsidRDefault="00BE43D0" w:rsidP="00BE43D0">
      <w:pPr>
        <w:spacing w:after="120"/>
        <w:rPr>
          <w:rFonts w:cs="Arial"/>
          <w:b/>
          <w:sz w:val="20"/>
        </w:rPr>
      </w:pPr>
    </w:p>
    <w:p w:rsidR="00BE43D0" w:rsidRPr="00206ED6" w:rsidRDefault="00BE43D0" w:rsidP="00BE43D0">
      <w:pPr>
        <w:spacing w:after="120"/>
        <w:ind w:left="284" w:hanging="284"/>
        <w:jc w:val="center"/>
        <w:rPr>
          <w:rFonts w:cs="Arial"/>
          <w:b/>
          <w:sz w:val="20"/>
        </w:rPr>
      </w:pPr>
      <w:r w:rsidRPr="00206ED6">
        <w:rPr>
          <w:rFonts w:cs="Arial"/>
          <w:b/>
          <w:sz w:val="20"/>
        </w:rPr>
        <w:t>IV. Povinnosti smluvních stran</w:t>
      </w:r>
    </w:p>
    <w:p w:rsidR="00BE43D0" w:rsidRPr="00206ED6" w:rsidRDefault="00BE43D0" w:rsidP="00BE43D0">
      <w:pPr>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textAlignment w:val="auto"/>
        <w:rPr>
          <w:rFonts w:cs="Arial"/>
          <w:sz w:val="20"/>
        </w:rPr>
      </w:pPr>
      <w:r w:rsidRPr="00206ED6">
        <w:rPr>
          <w:rFonts w:cs="Arial"/>
          <w:sz w:val="20"/>
        </w:rPr>
        <w:t>Nájemce je povinen užívat předmět nájmu ke sjednanému účelu, k jeho změně může dojít pouze na základě píse</w:t>
      </w:r>
      <w:r w:rsidR="00801448">
        <w:rPr>
          <w:rFonts w:cs="Arial"/>
          <w:sz w:val="20"/>
        </w:rPr>
        <w:t>mné dohody obou smluvních stran.</w:t>
      </w:r>
    </w:p>
    <w:p w:rsidR="00BE43D0" w:rsidRPr="00206ED6" w:rsidRDefault="00BE43D0" w:rsidP="00BE43D0">
      <w:pPr>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textAlignment w:val="auto"/>
        <w:rPr>
          <w:rFonts w:cs="Arial"/>
          <w:sz w:val="20"/>
        </w:rPr>
      </w:pPr>
      <w:r w:rsidRPr="00206ED6">
        <w:rPr>
          <w:rFonts w:cs="Arial"/>
          <w:sz w:val="20"/>
        </w:rPr>
        <w:t>Nájemce nesmí bez předchozího písemného souhlasu pronajímatele přenechat předmět nájmu do podnájmu či jiného užívání třetí osobě.</w:t>
      </w:r>
    </w:p>
    <w:p w:rsidR="00BE43D0" w:rsidRPr="00206ED6" w:rsidRDefault="00BE43D0" w:rsidP="00BE43D0">
      <w:pPr>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textAlignment w:val="auto"/>
        <w:rPr>
          <w:rFonts w:cs="Arial"/>
          <w:sz w:val="20"/>
        </w:rPr>
      </w:pPr>
      <w:r w:rsidRPr="00206ED6">
        <w:rPr>
          <w:rFonts w:cs="Arial"/>
          <w:sz w:val="20"/>
        </w:rPr>
        <w:t xml:space="preserve">Nájemce je povinen hradit nájemné </w:t>
      </w:r>
      <w:r>
        <w:rPr>
          <w:rFonts w:cs="Arial"/>
          <w:sz w:val="20"/>
        </w:rPr>
        <w:t xml:space="preserve">z této smlouvy </w:t>
      </w:r>
      <w:r w:rsidRPr="00206ED6">
        <w:rPr>
          <w:rFonts w:cs="Arial"/>
          <w:sz w:val="20"/>
        </w:rPr>
        <w:t>ve výši a způsobem stanoveným v článku III. této smlouvy.</w:t>
      </w:r>
    </w:p>
    <w:p w:rsidR="00BE43D0" w:rsidRPr="00206ED6" w:rsidRDefault="00BE43D0" w:rsidP="00BE43D0">
      <w:pPr>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textAlignment w:val="auto"/>
        <w:rPr>
          <w:rFonts w:cs="Arial"/>
          <w:sz w:val="20"/>
        </w:rPr>
      </w:pPr>
      <w:r w:rsidRPr="00206ED6">
        <w:rPr>
          <w:rFonts w:cs="Arial"/>
          <w:sz w:val="20"/>
        </w:rPr>
        <w:t xml:space="preserve">Nájemce je povinen umožnit bezplatný vstup, popř. vjezd na předmět nájmu zaměstnancům pronajímatele nebo jeho dodavatelům prací, služeb, zboží, provádějícím práce a úkony za účelem oprav a údržby tratí, drážních staveb, zařízení a vedení, jakož odstraňujícím následky železničních nehod a živelných událostí. Nájemce je dále povinen strpět na dobu nezbytně nutnou z těchto důvodů i možnost omezení užívání předmětu nájmu. V takovém případě se smluvní strany dohodnou na podmínkách omezení. Pokud nedojde k dohodě, může pronajímatel tuto smlouvu vypovědět bez výpovědní doby. </w:t>
      </w:r>
    </w:p>
    <w:p w:rsidR="00BE43D0" w:rsidRDefault="00BE43D0" w:rsidP="00BE43D0">
      <w:pPr>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textAlignment w:val="auto"/>
        <w:rPr>
          <w:rFonts w:cs="Arial"/>
          <w:sz w:val="20"/>
        </w:rPr>
      </w:pPr>
      <w:r w:rsidRPr="00206ED6">
        <w:rPr>
          <w:rFonts w:cs="Arial"/>
          <w:sz w:val="20"/>
        </w:rPr>
        <w:t>Veškeré stavební a zemní práce na předmětu nájmu může nájemce provádět pouze po předchozím písemném souhlasu pronajímatele a na základě rozhodnutí, popř. souhlasu s provedením ohlášené stavby příslušného stavebního úřadu podle příslušných ustanovení zákona č. 183/2006 Sb., o územním plánování a stavebním řádu (stavební zákon), ve znění pozdějších předpi</w:t>
      </w:r>
      <w:r w:rsidR="002D6CC9">
        <w:rPr>
          <w:rFonts w:cs="Arial"/>
          <w:sz w:val="20"/>
        </w:rPr>
        <w:t>sů, zákona č.266/1994 Sb., o drá</w:t>
      </w:r>
      <w:r w:rsidRPr="00206ED6">
        <w:rPr>
          <w:rFonts w:cs="Arial"/>
          <w:sz w:val="20"/>
        </w:rPr>
        <w:t xml:space="preserve">hách, v platném znění, popř. dalších obecně závazných předpisů. Případně povolená stavba bude vždy jen dočasného charakteru. Po uplynutí doby, popř. dříve, pokud dojde k zániku smluvního vztahu k pozemku, bude stavba odstraněna prostředky a nákladem nájemce, nedohodne-li se písemně nájemce s </w:t>
      </w:r>
    </w:p>
    <w:p w:rsidR="00BE43D0" w:rsidRPr="00206ED6" w:rsidRDefault="00BE43D0" w:rsidP="00BE43D0">
      <w:p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ind w:left="284"/>
        <w:textAlignment w:val="auto"/>
        <w:rPr>
          <w:rFonts w:cs="Arial"/>
          <w:sz w:val="20"/>
        </w:rPr>
      </w:pPr>
      <w:r w:rsidRPr="00206ED6">
        <w:rPr>
          <w:rFonts w:cs="Arial"/>
          <w:sz w:val="20"/>
        </w:rPr>
        <w:t>pronajímatelem jinak. V případě, že nájemce stavbu neodstraní, je tak oprávněn učinit pronajímatel na náklady nájemce. Nájemci v takovém případě nenáleží náhrada za odstraněnou stavbu. Rozhodnutí o povolení k zahájení provozu popř. kolaudační souhlas dočasné stavby nezakládá právo nájemci na zápis stavby a záznam vlastnického práva k dočasné stavbě do katastru nemovitostí.</w:t>
      </w:r>
    </w:p>
    <w:p w:rsidR="00BE43D0" w:rsidRPr="009D04CB" w:rsidRDefault="00BE43D0" w:rsidP="00BE43D0">
      <w:pPr>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textAlignment w:val="auto"/>
        <w:rPr>
          <w:rFonts w:cs="Arial"/>
          <w:sz w:val="20"/>
        </w:rPr>
      </w:pPr>
      <w:r w:rsidRPr="00206ED6">
        <w:rPr>
          <w:rFonts w:cs="Arial"/>
          <w:sz w:val="20"/>
        </w:rPr>
        <w:t>Pronajímatel neodpovídá za škody na majetku umístěném na předmětu nájmu.</w:t>
      </w:r>
    </w:p>
    <w:p w:rsidR="00BE43D0" w:rsidRDefault="00BE43D0" w:rsidP="00BE43D0">
      <w:pPr>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textAlignment w:val="auto"/>
        <w:rPr>
          <w:rFonts w:cs="Arial"/>
          <w:sz w:val="20"/>
        </w:rPr>
      </w:pPr>
      <w:r w:rsidRPr="00206ED6">
        <w:rPr>
          <w:rFonts w:cs="Arial"/>
          <w:sz w:val="20"/>
        </w:rPr>
        <w:t>Nájemce se zavazuje zajišťovat na předmětu nájmu běžnou údržbu (např. sekání trávy, údržba zeleně) a zdržovat se jakékoliv činnosti omezující či ohrožující bezpečnost železničního provozu a osob. Je povinen z najatých provozních a komunikačních ploch pro pěší i dopravní prostředky odstraňovat nečistoty, sníh, led a zabezpečovat schůdnost a sjízdnost obvyklým způsobem, pokud se s pronajímatelem písemně nedohodne jinak.</w:t>
      </w:r>
    </w:p>
    <w:p w:rsidR="001A4042" w:rsidRPr="00206ED6" w:rsidRDefault="001A4042" w:rsidP="001A4042">
      <w:pPr>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textAlignment w:val="auto"/>
        <w:rPr>
          <w:rFonts w:cs="Arial"/>
          <w:sz w:val="20"/>
        </w:rPr>
      </w:pPr>
      <w:r>
        <w:rPr>
          <w:rFonts w:cs="Arial"/>
          <w:sz w:val="20"/>
        </w:rPr>
        <w:t>Nájemce je povinen, že p</w:t>
      </w:r>
      <w:r w:rsidRPr="001A4042">
        <w:rPr>
          <w:rFonts w:cs="Arial"/>
          <w:sz w:val="20"/>
        </w:rPr>
        <w:t>o ukončení smlouvy bude uveden pozemek do původního stavu. Nezpevněné plochy budou srovnány, bez hromádek a prohlubní.</w:t>
      </w:r>
    </w:p>
    <w:p w:rsidR="00BE43D0" w:rsidRPr="00206ED6" w:rsidRDefault="00BE43D0" w:rsidP="00BE43D0">
      <w:pPr>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textAlignment w:val="auto"/>
        <w:rPr>
          <w:rFonts w:cs="Arial"/>
          <w:sz w:val="20"/>
        </w:rPr>
      </w:pPr>
      <w:r w:rsidRPr="00206ED6">
        <w:rPr>
          <w:rFonts w:cs="Arial"/>
          <w:sz w:val="20"/>
        </w:rPr>
        <w:t xml:space="preserve">Na předmětu nájmu může nájemce provozovat jen činnost, která neohrožuje životní prostředí, tj. zejména </w:t>
      </w:r>
      <w:r w:rsidRPr="00206ED6">
        <w:rPr>
          <w:rFonts w:cs="Arial"/>
          <w:sz w:val="20"/>
        </w:rPr>
        <w:lastRenderedPageBreak/>
        <w:t xml:space="preserve">povrchové a podzemní vody, ovzduší, prašnost, hlučnost atd., a je v souladu s platnými právními předpisy v oblasti životního prostředí, odpadů, bezpečnosti, požární ochrany, hygienických předpisů atd. Nájemce se zavazuje, že po dobu trvání nájemního vztahu přebírá na předmětu nájmu a v jeho okolí odpovědnost za porušení výše uvedených obecně platných předpisů a že uhradí sankce uložené z důvodu porušení uvedených norem a odstraní na vlastní náklady veškeré úniky, havárie látek ohrožujících jakost a zdravotní nezávadnost povrchových nebo podzemních vod a jiné vzniklé škody. </w:t>
      </w:r>
    </w:p>
    <w:p w:rsidR="00BE43D0" w:rsidRPr="00206ED6" w:rsidRDefault="00BE43D0" w:rsidP="00BE43D0">
      <w:pPr>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textAlignment w:val="auto"/>
        <w:rPr>
          <w:rFonts w:cs="Arial"/>
          <w:sz w:val="20"/>
        </w:rPr>
      </w:pPr>
      <w:r w:rsidRPr="00206ED6">
        <w:rPr>
          <w:rFonts w:cs="Arial"/>
          <w:sz w:val="20"/>
        </w:rPr>
        <w:t>Nájemce nesmí na předmětu nájmu provádět údržbu vozidel, jejich mytí, výměnu olejů, autobaterií, doplňování chladicích, odstřikovacích, brzdových a jiných provozních kapalin, regeneraci náhradních dílů, parkování nepojízdných vozidel.</w:t>
      </w:r>
    </w:p>
    <w:p w:rsidR="00BE43D0" w:rsidRDefault="00BE43D0" w:rsidP="00BE43D0">
      <w:pPr>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textAlignment w:val="auto"/>
        <w:rPr>
          <w:rFonts w:cs="Arial"/>
          <w:sz w:val="20"/>
        </w:rPr>
      </w:pPr>
      <w:r w:rsidRPr="00206ED6">
        <w:rPr>
          <w:rFonts w:cs="Arial"/>
          <w:sz w:val="20"/>
        </w:rPr>
        <w:t>Nájemce se zavazuje, že bude na vlastní náklady zajišťovat a plnit úkoly požární ochrany v souladu s platnými předpisy o požární ochraně. V případě vyvíjení činnosti se zvýšeným nebo vysokým požárním nebezpečím nájemce na své náklady nechá vypracovat osobou oprávněnou předepsanou dokumentaci požární ochrany, bude plnit podmínky požární bezpečnosti v ní stanovené a dokumentaci udržovat v souladu se skutečným stavem.</w:t>
      </w:r>
    </w:p>
    <w:p w:rsidR="00BE43D0" w:rsidRPr="00206ED6" w:rsidRDefault="00BE43D0" w:rsidP="00BE43D0">
      <w:pPr>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textAlignment w:val="auto"/>
        <w:rPr>
          <w:rFonts w:cs="Arial"/>
          <w:sz w:val="20"/>
        </w:rPr>
      </w:pPr>
      <w:r>
        <w:rPr>
          <w:rFonts w:cs="Arial"/>
          <w:sz w:val="20"/>
        </w:rPr>
        <w:t>Nájemce je povinen poskytnout pronajímateli ve stanovených termínech zpracované podklady pro ohlašovací povinnost plynoucí ze zákonů a vyhlášek v oblasti životního prostředí.</w:t>
      </w:r>
    </w:p>
    <w:p w:rsidR="00BE43D0" w:rsidRDefault="00BE43D0" w:rsidP="00BE43D0">
      <w:pPr>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textAlignment w:val="auto"/>
        <w:rPr>
          <w:rFonts w:cs="Arial"/>
          <w:sz w:val="20"/>
        </w:rPr>
      </w:pPr>
      <w:r w:rsidRPr="00206ED6">
        <w:rPr>
          <w:rFonts w:cs="Arial"/>
          <w:sz w:val="20"/>
        </w:rPr>
        <w:t xml:space="preserve">Nájemce je povinen zajistit na </w:t>
      </w:r>
      <w:r w:rsidR="00D134AB">
        <w:rPr>
          <w:rFonts w:cs="Arial"/>
          <w:sz w:val="20"/>
        </w:rPr>
        <w:t>svůj náklad na předmětu nájmu</w:t>
      </w:r>
      <w:r w:rsidRPr="00206ED6">
        <w:rPr>
          <w:rFonts w:cs="Arial"/>
          <w:sz w:val="20"/>
        </w:rPr>
        <w:t xml:space="preserve"> pořádek a čistotu a udržovat je v takovém stavu, aby nezadával příčinu k zakládání nepovolených skládek. V případě zjištění uložení </w:t>
      </w:r>
      <w:r w:rsidR="00D134AB">
        <w:rPr>
          <w:rFonts w:cs="Arial"/>
          <w:sz w:val="20"/>
        </w:rPr>
        <w:t xml:space="preserve">odpadů na předmětu nájmu, bude nekompromisně </w:t>
      </w:r>
      <w:r w:rsidRPr="00206ED6">
        <w:rPr>
          <w:rFonts w:cs="Arial"/>
          <w:sz w:val="20"/>
        </w:rPr>
        <w:t>požadováno jejich odstranění nájemcem na jeho náklady. Nájemce se zavazuje třídit, skladovat a zneškodňovat odpady v souladu s platným zákonem o odpadech a jeho prováděcími předpisy. Na pozemcích ve vlastnictví pronajímatele nebudou spalovány žádné odpady.</w:t>
      </w:r>
    </w:p>
    <w:p w:rsidR="00892EF3" w:rsidRPr="00892EF3" w:rsidRDefault="00892EF3" w:rsidP="002B798B">
      <w:pPr>
        <w:pStyle w:val="Odstavecseseznamem"/>
        <w:numPr>
          <w:ilvl w:val="0"/>
          <w:numId w:val="4"/>
        </w:numPr>
        <w:rPr>
          <w:rFonts w:cs="Arial"/>
          <w:sz w:val="20"/>
        </w:rPr>
      </w:pPr>
      <w:r w:rsidRPr="00892EF3">
        <w:rPr>
          <w:rFonts w:cs="Arial"/>
          <w:sz w:val="20"/>
        </w:rPr>
        <w:t>Nakládání s nebezpečnými odpady</w:t>
      </w:r>
      <w:r>
        <w:rPr>
          <w:rFonts w:cs="Arial"/>
          <w:sz w:val="20"/>
        </w:rPr>
        <w:t xml:space="preserve"> je</w:t>
      </w:r>
      <w:r w:rsidRPr="00892EF3">
        <w:rPr>
          <w:rFonts w:cs="Arial"/>
          <w:sz w:val="20"/>
        </w:rPr>
        <w:t xml:space="preserve"> zakázáno.</w:t>
      </w:r>
      <w:r w:rsidR="002B798B">
        <w:rPr>
          <w:rFonts w:cs="Arial"/>
          <w:sz w:val="20"/>
        </w:rPr>
        <w:t xml:space="preserve"> </w:t>
      </w:r>
    </w:p>
    <w:p w:rsidR="00BE43D0" w:rsidRPr="000B303F" w:rsidRDefault="00BE43D0" w:rsidP="00BE43D0">
      <w:pPr>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textAlignment w:val="auto"/>
        <w:rPr>
          <w:rFonts w:cs="Arial"/>
          <w:sz w:val="20"/>
        </w:rPr>
      </w:pPr>
      <w:r w:rsidRPr="000B303F">
        <w:rPr>
          <w:rFonts w:cs="Arial"/>
          <w:sz w:val="20"/>
        </w:rPr>
        <w:t>Nájemce je povinen umožnit vstup oprávněným pracovníkům pronajímatele za účelem kontrol stavu předmětu nájmu, zařízení, které je součástí předmětu nájmu, plnění výše uvedených povinností a dbát jejich pokynů. Oprávněný pracovník je povinen se prokázat služebním průkazem.</w:t>
      </w:r>
    </w:p>
    <w:p w:rsidR="00BE43D0" w:rsidRPr="000B303F" w:rsidRDefault="00BE43D0" w:rsidP="00BE43D0">
      <w:pPr>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textAlignment w:val="auto"/>
        <w:rPr>
          <w:rFonts w:cs="Arial"/>
          <w:sz w:val="20"/>
        </w:rPr>
      </w:pPr>
      <w:r w:rsidRPr="000B303F">
        <w:rPr>
          <w:rFonts w:cs="Arial"/>
          <w:sz w:val="20"/>
        </w:rPr>
        <w:t>Nájemce je povinen předmět nájmu označit čitelně a viditelně názvem a obchodní činností nájemce.</w:t>
      </w:r>
    </w:p>
    <w:p w:rsidR="00BE43D0" w:rsidRPr="000B303F" w:rsidRDefault="00BE43D0" w:rsidP="00BE43D0">
      <w:pPr>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textAlignment w:val="auto"/>
        <w:rPr>
          <w:rFonts w:cs="Arial"/>
          <w:sz w:val="20"/>
        </w:rPr>
      </w:pPr>
      <w:r w:rsidRPr="000B303F">
        <w:rPr>
          <w:rFonts w:cs="Arial"/>
          <w:sz w:val="20"/>
        </w:rPr>
        <w:t>Nájemce je povinen svou činností neomezovat a neohrožovat bezpečnost pronajímatele ani jiné osoby.</w:t>
      </w:r>
    </w:p>
    <w:p w:rsidR="00BE43D0" w:rsidRPr="00206ED6" w:rsidRDefault="00BE43D0" w:rsidP="00BE43D0">
      <w:pPr>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textAlignment w:val="auto"/>
        <w:rPr>
          <w:rFonts w:cs="Arial"/>
          <w:sz w:val="20"/>
        </w:rPr>
      </w:pPr>
      <w:r w:rsidRPr="00206ED6">
        <w:rPr>
          <w:rFonts w:cs="Arial"/>
          <w:sz w:val="20"/>
        </w:rPr>
        <w:t>Nájemce nesmí vstupovat do kolejiště, ani se pohybovat v prostoru blíže než 3 m od osy krajní koleje.</w:t>
      </w:r>
    </w:p>
    <w:p w:rsidR="00BE43D0" w:rsidRDefault="00BE43D0" w:rsidP="00BE43D0">
      <w:pPr>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textAlignment w:val="auto"/>
        <w:rPr>
          <w:rFonts w:cs="Arial"/>
          <w:sz w:val="20"/>
        </w:rPr>
      </w:pPr>
      <w:r w:rsidRPr="000B303F">
        <w:rPr>
          <w:rFonts w:cs="Arial"/>
          <w:sz w:val="20"/>
        </w:rPr>
        <w:t>Nájemce bere na vědomí, že nemá nárok na slevu z nájmu, nemohl-li užívat předmětnou pozemkovou plochu dohodnutým způsobem z důvodů negativních vlivů běžného provozu železnice.</w:t>
      </w:r>
    </w:p>
    <w:p w:rsidR="000E65FC" w:rsidRPr="00BC49D3" w:rsidRDefault="000E65FC" w:rsidP="00C32998">
      <w:pPr>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textAlignment w:val="auto"/>
        <w:rPr>
          <w:rFonts w:cs="Arial"/>
          <w:sz w:val="20"/>
        </w:rPr>
      </w:pPr>
      <w:r w:rsidRPr="00BC49D3">
        <w:rPr>
          <w:rFonts w:cs="Arial"/>
          <w:sz w:val="20"/>
        </w:rPr>
        <w:t>V případě potřeby kácení dřevního porostu je nezbytně nutné dodržet zákon o „Ochraně přírody a krajiny 114/1992 Sb.“; ve znění pozdějších předpisů. Především § 8 -  „Povolení ke kácení dřevin.“</w:t>
      </w:r>
    </w:p>
    <w:p w:rsidR="000E65FC" w:rsidRPr="00BC49D3" w:rsidRDefault="000E65FC" w:rsidP="00C32998">
      <w:pPr>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textAlignment w:val="auto"/>
        <w:rPr>
          <w:rFonts w:cs="Arial"/>
          <w:sz w:val="20"/>
        </w:rPr>
      </w:pPr>
      <w:r w:rsidRPr="00BC49D3">
        <w:rPr>
          <w:rFonts w:cs="Arial"/>
          <w:sz w:val="20"/>
        </w:rPr>
        <w:t>V případě umístění techniky, je nutné zabránit únikům provozních kapalin do podloží pozemku a dodrž</w:t>
      </w:r>
      <w:r w:rsidR="00C32998" w:rsidRPr="00BC49D3">
        <w:rPr>
          <w:rFonts w:cs="Arial"/>
          <w:sz w:val="20"/>
        </w:rPr>
        <w:t>ovat zákon o vodách 254/2001 Sb</w:t>
      </w:r>
      <w:r w:rsidRPr="00BC49D3">
        <w:rPr>
          <w:rFonts w:cs="Arial"/>
          <w:sz w:val="20"/>
        </w:rPr>
        <w:t>.</w:t>
      </w:r>
    </w:p>
    <w:p w:rsidR="000E65FC" w:rsidRPr="00BC49D3" w:rsidRDefault="000E65FC" w:rsidP="000E65FC">
      <w:pPr>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textAlignment w:val="auto"/>
        <w:rPr>
          <w:rFonts w:cs="Arial"/>
          <w:sz w:val="20"/>
        </w:rPr>
      </w:pPr>
      <w:r w:rsidRPr="00BC49D3">
        <w:rPr>
          <w:rFonts w:cs="Arial"/>
          <w:sz w:val="20"/>
        </w:rPr>
        <w:t>Nakládání s ostatním odpadem (komunální odpad) dle zákona 541/2020 Sb. ve znění pozdějších předpisů.</w:t>
      </w:r>
    </w:p>
    <w:p w:rsidR="000E65FC" w:rsidRPr="00BC49D3" w:rsidRDefault="000E65FC" w:rsidP="000E65FC">
      <w:pPr>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textAlignment w:val="auto"/>
        <w:rPr>
          <w:rFonts w:cs="Arial"/>
          <w:sz w:val="20"/>
        </w:rPr>
      </w:pPr>
      <w:r w:rsidRPr="00BC49D3">
        <w:rPr>
          <w:rFonts w:cs="Arial"/>
          <w:sz w:val="20"/>
        </w:rPr>
        <w:t>Pokud by vzniklo podezření znečištění, nebezpečnými látkami, s ohledem na životní prostředí, může si pronajímatel, vyžádat k předložení odborný certifikát o nezávadnosti zemin, a to vše na náklady nájemce.</w:t>
      </w:r>
    </w:p>
    <w:p w:rsidR="000E65FC" w:rsidRPr="00BC49D3" w:rsidRDefault="000E65FC" w:rsidP="000E65FC">
      <w:pPr>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textAlignment w:val="auto"/>
        <w:rPr>
          <w:rFonts w:cs="Arial"/>
          <w:sz w:val="20"/>
        </w:rPr>
      </w:pPr>
      <w:r w:rsidRPr="00BC49D3">
        <w:rPr>
          <w:rFonts w:cs="Arial"/>
          <w:sz w:val="20"/>
        </w:rPr>
        <w:t xml:space="preserve">Porušení environmetálního chování nájemce bude posuzováno jako závažné porušení smlouvy a může být jedním z důvodů výpovědi před uplynutím doby nájmu. </w:t>
      </w:r>
    </w:p>
    <w:p w:rsidR="000E65FC" w:rsidRDefault="000E65FC" w:rsidP="000E65FC">
      <w:pPr>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textAlignment w:val="auto"/>
        <w:rPr>
          <w:rFonts w:cs="Arial"/>
          <w:sz w:val="20"/>
        </w:rPr>
      </w:pPr>
      <w:r w:rsidRPr="000E65FC">
        <w:rPr>
          <w:rFonts w:cs="Arial"/>
          <w:sz w:val="20"/>
        </w:rPr>
        <w:t>Dbejte na dodržování protihlukové hygienické normy pro danou zónu.</w:t>
      </w:r>
    </w:p>
    <w:p w:rsidR="00A62080" w:rsidRDefault="00A62080" w:rsidP="000E65FC">
      <w:pPr>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textAlignment w:val="auto"/>
        <w:rPr>
          <w:rFonts w:cs="Arial"/>
          <w:sz w:val="20"/>
        </w:rPr>
      </w:pPr>
      <w:r w:rsidRPr="00117CD8">
        <w:rPr>
          <w:rFonts w:cs="Arial"/>
          <w:sz w:val="20"/>
        </w:rPr>
        <w:t>Nájemce se zavazuje dodržet ustanovení uvedená ve stanovisku Regionální správy majetku Brno k projektové dokumentaci sta</w:t>
      </w:r>
      <w:r w:rsidR="00426588">
        <w:rPr>
          <w:rFonts w:cs="Arial"/>
          <w:sz w:val="20"/>
        </w:rPr>
        <w:t>vby ze dne 12.12.2022, č.j. 3901/22</w:t>
      </w:r>
      <w:r w:rsidRPr="00117CD8">
        <w:rPr>
          <w:rFonts w:cs="Arial"/>
          <w:sz w:val="20"/>
        </w:rPr>
        <w:t xml:space="preserve"> – RSM Brno</w:t>
      </w:r>
      <w:r>
        <w:rPr>
          <w:rFonts w:cs="Arial"/>
          <w:sz w:val="20"/>
        </w:rPr>
        <w:t>.</w:t>
      </w:r>
    </w:p>
    <w:p w:rsidR="00BE43D0" w:rsidRPr="000B303F" w:rsidRDefault="00BE43D0" w:rsidP="00BE43D0">
      <w:pPr>
        <w:numPr>
          <w:ilvl w:val="0"/>
          <w:numId w:val="4"/>
        </w:num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textAlignment w:val="auto"/>
        <w:rPr>
          <w:rFonts w:cs="Arial"/>
          <w:sz w:val="20"/>
        </w:rPr>
      </w:pPr>
      <w:r w:rsidRPr="000B303F">
        <w:rPr>
          <w:rFonts w:cs="Arial"/>
          <w:sz w:val="20"/>
        </w:rPr>
        <w:t>Oblast BOZP koordinuje pronajímatel. Součástí nájemní smlouvy jsou rizika BOZP ČD</w:t>
      </w:r>
      <w:r w:rsidR="004622FD">
        <w:rPr>
          <w:rFonts w:cs="Arial"/>
          <w:sz w:val="20"/>
        </w:rPr>
        <w:t>, a.s., která jsou přílohou č. 2</w:t>
      </w:r>
      <w:r w:rsidRPr="000B303F">
        <w:rPr>
          <w:rFonts w:cs="Arial"/>
          <w:sz w:val="20"/>
        </w:rPr>
        <w:t>. této smlouvy. V případě naplnění ustanovení §102 zákoníku práce v platném znění si předají smluvní strany BOZP vzájemně.</w:t>
      </w:r>
    </w:p>
    <w:p w:rsidR="00BE43D0" w:rsidRPr="003A4A8C" w:rsidRDefault="00BE43D0" w:rsidP="00BE43D0">
      <w:pPr>
        <w:pStyle w:val="Zkladntextodsazen3"/>
        <w:widowControl/>
        <w:tabs>
          <w:tab w:val="clear" w:pos="709"/>
          <w:tab w:val="clear" w:pos="851"/>
          <w:tab w:val="clear" w:pos="1134"/>
          <w:tab w:val="clear" w:pos="1418"/>
          <w:tab w:val="clear" w:pos="1701"/>
          <w:tab w:val="clear" w:pos="1985"/>
          <w:tab w:val="clear" w:pos="2268"/>
          <w:tab w:val="clear" w:pos="2552"/>
          <w:tab w:val="clear" w:pos="2835"/>
          <w:tab w:val="left" w:pos="284"/>
        </w:tabs>
        <w:overflowPunct/>
        <w:autoSpaceDE/>
        <w:autoSpaceDN/>
        <w:adjustRightInd/>
        <w:ind w:left="284" w:firstLine="0"/>
        <w:textAlignment w:val="auto"/>
        <w:rPr>
          <w:rFonts w:ascii="Arial" w:hAnsi="Arial" w:cs="Arial"/>
        </w:rPr>
      </w:pPr>
    </w:p>
    <w:p w:rsidR="00BE43D0" w:rsidRDefault="00BE43D0" w:rsidP="00BE43D0">
      <w:pPr>
        <w:pStyle w:val="Zkladntext3"/>
        <w:spacing w:after="0"/>
        <w:jc w:val="center"/>
        <w:rPr>
          <w:rFonts w:cs="Arial"/>
          <w:b/>
          <w:sz w:val="20"/>
          <w:szCs w:val="20"/>
        </w:rPr>
      </w:pPr>
    </w:p>
    <w:p w:rsidR="00BE43D0" w:rsidRPr="00206ED6" w:rsidRDefault="00BE43D0" w:rsidP="00D07EAE">
      <w:pPr>
        <w:pStyle w:val="Zkladntext3"/>
        <w:jc w:val="center"/>
        <w:rPr>
          <w:rFonts w:cs="Arial"/>
          <w:b/>
          <w:sz w:val="20"/>
          <w:szCs w:val="20"/>
        </w:rPr>
      </w:pPr>
      <w:r w:rsidRPr="00206ED6">
        <w:rPr>
          <w:rFonts w:cs="Arial"/>
          <w:b/>
          <w:sz w:val="20"/>
          <w:szCs w:val="20"/>
        </w:rPr>
        <w:t>V. Smluvní pokuta</w:t>
      </w:r>
    </w:p>
    <w:p w:rsidR="00BE43D0" w:rsidRPr="005A255E" w:rsidRDefault="00BE43D0" w:rsidP="00BE43D0">
      <w:pPr>
        <w:numPr>
          <w:ilvl w:val="0"/>
          <w:numId w:val="6"/>
        </w:numPr>
        <w:tabs>
          <w:tab w:val="clear" w:pos="567"/>
          <w:tab w:val="clear" w:pos="720"/>
          <w:tab w:val="clear" w:pos="851"/>
          <w:tab w:val="clear" w:pos="1134"/>
          <w:tab w:val="clear" w:pos="1418"/>
          <w:tab w:val="clear" w:pos="1701"/>
          <w:tab w:val="clear" w:pos="1985"/>
          <w:tab w:val="clear" w:pos="2268"/>
          <w:tab w:val="clear" w:pos="2552"/>
          <w:tab w:val="clear" w:pos="2835"/>
          <w:tab w:val="num" w:pos="284"/>
        </w:tabs>
        <w:suppressAutoHyphens/>
        <w:overflowPunct/>
        <w:autoSpaceDE/>
        <w:autoSpaceDN/>
        <w:adjustRightInd/>
        <w:ind w:left="284" w:hanging="284"/>
        <w:textAlignment w:val="auto"/>
        <w:rPr>
          <w:rFonts w:cs="Arial"/>
          <w:sz w:val="20"/>
        </w:rPr>
      </w:pPr>
      <w:r w:rsidRPr="00206ED6">
        <w:rPr>
          <w:rFonts w:cs="Arial"/>
          <w:sz w:val="20"/>
        </w:rPr>
        <w:t xml:space="preserve">V </w:t>
      </w:r>
      <w:r w:rsidRPr="005A255E">
        <w:rPr>
          <w:rFonts w:cs="Arial"/>
          <w:sz w:val="20"/>
        </w:rPr>
        <w:t>případě porušení jakékoli z povinností s</w:t>
      </w:r>
      <w:r w:rsidR="00B86FB0">
        <w:rPr>
          <w:rFonts w:cs="Arial"/>
          <w:sz w:val="20"/>
        </w:rPr>
        <w:t>tanovených v článku III. odst. 8</w:t>
      </w:r>
      <w:r w:rsidRPr="005A255E">
        <w:rPr>
          <w:rFonts w:cs="Arial"/>
          <w:sz w:val="20"/>
        </w:rPr>
        <w:t>. a článku IV. odst. 1., 3., 4., 5., 7., 8., 9. této smlouvy je pronajímatel oprávněn účtovat nájemci smluvní pokutu ve výši 10% z ceny ročního nájemného</w:t>
      </w:r>
      <w:r w:rsidR="006901C4">
        <w:rPr>
          <w:rFonts w:cs="Arial"/>
          <w:sz w:val="20"/>
        </w:rPr>
        <w:t xml:space="preserve"> bez DPH</w:t>
      </w:r>
      <w:r w:rsidRPr="005A255E">
        <w:rPr>
          <w:rFonts w:cs="Arial"/>
          <w:sz w:val="20"/>
        </w:rPr>
        <w:t>.</w:t>
      </w:r>
    </w:p>
    <w:p w:rsidR="00BE43D0" w:rsidRPr="005A255E" w:rsidRDefault="00BE43D0" w:rsidP="00BE43D0">
      <w:pPr>
        <w:numPr>
          <w:ilvl w:val="0"/>
          <w:numId w:val="6"/>
        </w:numPr>
        <w:tabs>
          <w:tab w:val="clear" w:pos="567"/>
          <w:tab w:val="clear" w:pos="720"/>
          <w:tab w:val="clear" w:pos="851"/>
          <w:tab w:val="clear" w:pos="1134"/>
          <w:tab w:val="clear" w:pos="1418"/>
          <w:tab w:val="clear" w:pos="1701"/>
          <w:tab w:val="clear" w:pos="1985"/>
          <w:tab w:val="clear" w:pos="2268"/>
          <w:tab w:val="clear" w:pos="2552"/>
          <w:tab w:val="clear" w:pos="2835"/>
          <w:tab w:val="num" w:pos="284"/>
        </w:tabs>
        <w:suppressAutoHyphens/>
        <w:overflowPunct/>
        <w:autoSpaceDE/>
        <w:autoSpaceDN/>
        <w:adjustRightInd/>
        <w:ind w:left="284" w:hanging="284"/>
        <w:textAlignment w:val="auto"/>
        <w:rPr>
          <w:rFonts w:cs="Arial"/>
          <w:sz w:val="20"/>
        </w:rPr>
      </w:pPr>
      <w:r w:rsidRPr="005A255E">
        <w:rPr>
          <w:rFonts w:cs="Arial"/>
          <w:sz w:val="20"/>
        </w:rPr>
        <w:t>V případě porušení zákazu stanoveného v článku IV. odst. 2. této smlouvy je pronajímatel oprávněn účtovat nájemci smluvní pokutu ve výši dvojnásobku platného ročního nájmu sjednaného dle článku III. této smlouvy.</w:t>
      </w:r>
    </w:p>
    <w:p w:rsidR="00BE43D0" w:rsidRPr="005A255E" w:rsidRDefault="00BE43D0" w:rsidP="00BE43D0">
      <w:pPr>
        <w:numPr>
          <w:ilvl w:val="0"/>
          <w:numId w:val="6"/>
        </w:numPr>
        <w:tabs>
          <w:tab w:val="clear" w:pos="567"/>
          <w:tab w:val="clear" w:pos="720"/>
          <w:tab w:val="clear" w:pos="851"/>
          <w:tab w:val="clear" w:pos="1134"/>
          <w:tab w:val="clear" w:pos="1418"/>
          <w:tab w:val="clear" w:pos="1701"/>
          <w:tab w:val="clear" w:pos="1985"/>
          <w:tab w:val="clear" w:pos="2268"/>
          <w:tab w:val="clear" w:pos="2552"/>
          <w:tab w:val="clear" w:pos="2835"/>
          <w:tab w:val="num" w:pos="284"/>
        </w:tabs>
        <w:suppressAutoHyphens/>
        <w:overflowPunct/>
        <w:autoSpaceDE/>
        <w:autoSpaceDN/>
        <w:adjustRightInd/>
        <w:ind w:left="284" w:hanging="284"/>
        <w:textAlignment w:val="auto"/>
        <w:rPr>
          <w:rFonts w:cs="Arial"/>
          <w:sz w:val="20"/>
        </w:rPr>
      </w:pPr>
      <w:r w:rsidRPr="005A255E">
        <w:rPr>
          <w:rFonts w:cs="Arial"/>
          <w:sz w:val="20"/>
        </w:rPr>
        <w:t xml:space="preserve">V případě, že nájemce užívá více, než činí předmět </w:t>
      </w:r>
      <w:r w:rsidRPr="00DB12E5">
        <w:rPr>
          <w:rFonts w:cs="Arial"/>
          <w:sz w:val="20"/>
        </w:rPr>
        <w:t>nájmu popsaný v článku I. Této smlouvy, je pronajímatel oprávněn účtovat náje</w:t>
      </w:r>
      <w:r w:rsidR="00590343" w:rsidRPr="00DB12E5">
        <w:rPr>
          <w:rFonts w:cs="Arial"/>
          <w:sz w:val="20"/>
        </w:rPr>
        <w:t>mci</w:t>
      </w:r>
      <w:r w:rsidR="001870E4">
        <w:rPr>
          <w:rFonts w:cs="Arial"/>
          <w:sz w:val="20"/>
        </w:rPr>
        <w:t xml:space="preserve"> smluvní pokutu ve výši 1 000</w:t>
      </w:r>
      <w:r w:rsidRPr="00DB12E5">
        <w:rPr>
          <w:rFonts w:cs="Arial"/>
          <w:sz w:val="20"/>
        </w:rPr>
        <w:t>,00</w:t>
      </w:r>
      <w:r w:rsidR="001870E4">
        <w:rPr>
          <w:rFonts w:cs="Arial"/>
          <w:sz w:val="20"/>
        </w:rPr>
        <w:t xml:space="preserve"> </w:t>
      </w:r>
      <w:r w:rsidRPr="00DB12E5">
        <w:rPr>
          <w:rFonts w:cs="Arial"/>
          <w:sz w:val="20"/>
        </w:rPr>
        <w:t>Kč.</w:t>
      </w:r>
    </w:p>
    <w:p w:rsidR="00BE43D0" w:rsidRPr="00206ED6" w:rsidRDefault="00BE43D0" w:rsidP="00BE43D0">
      <w:pPr>
        <w:numPr>
          <w:ilvl w:val="0"/>
          <w:numId w:val="6"/>
        </w:numPr>
        <w:tabs>
          <w:tab w:val="clear" w:pos="567"/>
          <w:tab w:val="clear" w:pos="720"/>
          <w:tab w:val="clear" w:pos="851"/>
          <w:tab w:val="clear" w:pos="1134"/>
          <w:tab w:val="clear" w:pos="1418"/>
          <w:tab w:val="clear" w:pos="1701"/>
          <w:tab w:val="clear" w:pos="1985"/>
          <w:tab w:val="clear" w:pos="2268"/>
          <w:tab w:val="clear" w:pos="2552"/>
          <w:tab w:val="clear" w:pos="2835"/>
          <w:tab w:val="num" w:pos="284"/>
        </w:tabs>
        <w:suppressAutoHyphens/>
        <w:overflowPunct/>
        <w:autoSpaceDE/>
        <w:autoSpaceDN/>
        <w:adjustRightInd/>
        <w:ind w:left="284" w:hanging="284"/>
        <w:textAlignment w:val="auto"/>
        <w:rPr>
          <w:rFonts w:cs="Arial"/>
          <w:sz w:val="20"/>
        </w:rPr>
      </w:pPr>
      <w:r w:rsidRPr="005A255E">
        <w:rPr>
          <w:rFonts w:cs="Arial"/>
          <w:sz w:val="20"/>
        </w:rPr>
        <w:t>Smluvní pokuta za nevyklizení a řádné nepředání předmětu nájmu je upravena</w:t>
      </w:r>
      <w:r w:rsidRPr="00206ED6">
        <w:rPr>
          <w:rFonts w:cs="Arial"/>
          <w:sz w:val="20"/>
        </w:rPr>
        <w:t xml:space="preserve"> v článku VI. odst.</w:t>
      </w:r>
      <w:r>
        <w:rPr>
          <w:rFonts w:cs="Arial"/>
          <w:sz w:val="20"/>
        </w:rPr>
        <w:t xml:space="preserve"> </w:t>
      </w:r>
      <w:r w:rsidR="00C32998">
        <w:rPr>
          <w:rFonts w:cs="Arial"/>
          <w:sz w:val="20"/>
        </w:rPr>
        <w:t>5</w:t>
      </w:r>
      <w:r w:rsidRPr="00206ED6">
        <w:rPr>
          <w:rFonts w:cs="Arial"/>
          <w:sz w:val="20"/>
        </w:rPr>
        <w:t>. této smlouvy.</w:t>
      </w:r>
    </w:p>
    <w:p w:rsidR="00D07EAE" w:rsidRPr="00DD7C76" w:rsidRDefault="00BE43D0" w:rsidP="00D07EAE">
      <w:pPr>
        <w:numPr>
          <w:ilvl w:val="0"/>
          <w:numId w:val="6"/>
        </w:numPr>
        <w:tabs>
          <w:tab w:val="clear" w:pos="567"/>
          <w:tab w:val="clear" w:pos="720"/>
          <w:tab w:val="clear" w:pos="851"/>
          <w:tab w:val="clear" w:pos="1134"/>
          <w:tab w:val="clear" w:pos="1418"/>
          <w:tab w:val="clear" w:pos="1701"/>
          <w:tab w:val="clear" w:pos="1985"/>
          <w:tab w:val="clear" w:pos="2268"/>
          <w:tab w:val="clear" w:pos="2552"/>
          <w:tab w:val="clear" w:pos="2835"/>
          <w:tab w:val="num" w:pos="284"/>
        </w:tabs>
        <w:suppressAutoHyphens/>
        <w:overflowPunct/>
        <w:autoSpaceDE/>
        <w:autoSpaceDN/>
        <w:adjustRightInd/>
        <w:ind w:left="284" w:hanging="284"/>
        <w:textAlignment w:val="auto"/>
        <w:rPr>
          <w:rFonts w:cs="Arial"/>
          <w:sz w:val="20"/>
        </w:rPr>
      </w:pPr>
      <w:r w:rsidRPr="00206ED6">
        <w:rPr>
          <w:rFonts w:cs="Arial"/>
          <w:sz w:val="20"/>
        </w:rPr>
        <w:t>Nárok pronajímatele na náhradu škody není zaplacením smluvní pokuty dotčen. Smluvní pokutu lze uložit i opakovaně, pokud druhá smluvní strana po písemném upozornění neodstraní závadný stav v určeném termínu.</w:t>
      </w:r>
    </w:p>
    <w:p w:rsidR="00BE43D0" w:rsidRPr="002B4447" w:rsidRDefault="00BE43D0" w:rsidP="00BE43D0">
      <w:pPr>
        <w:numPr>
          <w:ilvl w:val="0"/>
          <w:numId w:val="6"/>
        </w:numPr>
        <w:tabs>
          <w:tab w:val="clear" w:pos="567"/>
          <w:tab w:val="clear" w:pos="720"/>
          <w:tab w:val="clear" w:pos="851"/>
          <w:tab w:val="clear" w:pos="1134"/>
          <w:tab w:val="clear" w:pos="1418"/>
          <w:tab w:val="clear" w:pos="1701"/>
          <w:tab w:val="clear" w:pos="1985"/>
          <w:tab w:val="clear" w:pos="2268"/>
          <w:tab w:val="clear" w:pos="2552"/>
          <w:tab w:val="clear" w:pos="2835"/>
          <w:tab w:val="num" w:pos="284"/>
        </w:tabs>
        <w:suppressAutoHyphens/>
        <w:overflowPunct/>
        <w:autoSpaceDE/>
        <w:autoSpaceDN/>
        <w:adjustRightInd/>
        <w:ind w:left="284" w:hanging="284"/>
        <w:textAlignment w:val="auto"/>
        <w:rPr>
          <w:rFonts w:cs="Arial"/>
          <w:sz w:val="20"/>
        </w:rPr>
      </w:pPr>
      <w:r w:rsidRPr="00206ED6">
        <w:rPr>
          <w:rFonts w:cs="Arial"/>
          <w:sz w:val="20"/>
        </w:rPr>
        <w:lastRenderedPageBreak/>
        <w:t>V případě, že pronajímateli budou uloženy sankce a pokuty za jednání nájemce a osob nacházejících se s jeho vědomím v předmětu nájmu, je nájemce povinen tyto sankce a pokuty pronajímateli na písemnou výzvu zaplatit.</w:t>
      </w:r>
    </w:p>
    <w:p w:rsidR="003353E3" w:rsidRDefault="003353E3" w:rsidP="00BE43D0">
      <w:pPr>
        <w:pStyle w:val="Zkladntext3"/>
        <w:spacing w:after="0"/>
        <w:rPr>
          <w:rFonts w:cs="Arial"/>
          <w:b/>
          <w:sz w:val="20"/>
          <w:szCs w:val="20"/>
        </w:rPr>
      </w:pPr>
    </w:p>
    <w:p w:rsidR="003353E3" w:rsidRPr="00206ED6" w:rsidRDefault="003353E3" w:rsidP="00BE43D0">
      <w:pPr>
        <w:pStyle w:val="Zkladntext3"/>
        <w:spacing w:after="0"/>
        <w:rPr>
          <w:rFonts w:cs="Arial"/>
          <w:b/>
          <w:sz w:val="20"/>
          <w:szCs w:val="20"/>
        </w:rPr>
      </w:pPr>
    </w:p>
    <w:p w:rsidR="00BE43D0" w:rsidRPr="00206ED6" w:rsidRDefault="00BE43D0" w:rsidP="00D07EAE">
      <w:pPr>
        <w:pStyle w:val="Zkladntext3"/>
        <w:jc w:val="center"/>
        <w:rPr>
          <w:rFonts w:cs="Arial"/>
          <w:b/>
          <w:sz w:val="20"/>
          <w:szCs w:val="20"/>
        </w:rPr>
      </w:pPr>
      <w:r w:rsidRPr="00206ED6">
        <w:rPr>
          <w:rFonts w:cs="Arial"/>
          <w:b/>
          <w:sz w:val="20"/>
          <w:szCs w:val="20"/>
        </w:rPr>
        <w:t>VI. Doba nájmu</w:t>
      </w:r>
    </w:p>
    <w:p w:rsidR="00064DD5" w:rsidRPr="008C7545" w:rsidRDefault="008C7545" w:rsidP="008C7545">
      <w:pPr>
        <w:pStyle w:val="Odstavecseseznamem"/>
        <w:numPr>
          <w:ilvl w:val="0"/>
          <w:numId w:val="2"/>
        </w:numPr>
        <w:tabs>
          <w:tab w:val="clear" w:pos="360"/>
          <w:tab w:val="num" w:pos="284"/>
        </w:tabs>
        <w:ind w:left="284" w:hanging="284"/>
        <w:rPr>
          <w:rFonts w:cs="Arial"/>
          <w:sz w:val="20"/>
        </w:rPr>
      </w:pPr>
      <w:r w:rsidRPr="009D6799">
        <w:rPr>
          <w:rFonts w:cs="Arial"/>
          <w:sz w:val="20"/>
        </w:rPr>
        <w:t xml:space="preserve">Tato smlouva se uzavírá na dobu </w:t>
      </w:r>
      <w:r w:rsidRPr="009D6799">
        <w:rPr>
          <w:rFonts w:cs="Arial"/>
          <w:b/>
          <w:sz w:val="20"/>
        </w:rPr>
        <w:t>neurčitou</w:t>
      </w:r>
      <w:r w:rsidRPr="009D6799">
        <w:rPr>
          <w:rFonts w:cs="Arial"/>
          <w:sz w:val="20"/>
        </w:rPr>
        <w:t>, s platností ode dne podepsání smlouvy všemi smluvními stranami a účinností ode dne protok</w:t>
      </w:r>
      <w:r>
        <w:rPr>
          <w:rFonts w:cs="Arial"/>
          <w:sz w:val="20"/>
        </w:rPr>
        <w:t>olárního předání předmětu nájmu (nejdříve však dnem uveřejnění v registru smluv).</w:t>
      </w:r>
      <w:r w:rsidR="004622FD">
        <w:rPr>
          <w:rFonts w:cs="Arial"/>
          <w:sz w:val="20"/>
        </w:rPr>
        <w:t xml:space="preserve"> Smluvní strany si sjednávají 1</w:t>
      </w:r>
      <w:r>
        <w:rPr>
          <w:rFonts w:cs="Arial"/>
          <w:sz w:val="20"/>
        </w:rPr>
        <w:t xml:space="preserve"> </w:t>
      </w:r>
      <w:r>
        <w:rPr>
          <w:rFonts w:cs="Arial"/>
          <w:sz w:val="20"/>
          <w:u w:val="single"/>
        </w:rPr>
        <w:t>měsíční</w:t>
      </w:r>
      <w:r w:rsidRPr="008E3DAB">
        <w:rPr>
          <w:rFonts w:cs="Arial"/>
          <w:sz w:val="20"/>
          <w:u w:val="single"/>
        </w:rPr>
        <w:t xml:space="preserve"> výpovědní dobu</w:t>
      </w:r>
      <w:r w:rsidRPr="009D6799">
        <w:rPr>
          <w:rFonts w:cs="Arial"/>
          <w:sz w:val="20"/>
        </w:rPr>
        <w:t xml:space="preserve">, </w:t>
      </w:r>
      <w:r w:rsidRPr="008E3DAB">
        <w:rPr>
          <w:rFonts w:cs="Arial"/>
          <w:sz w:val="20"/>
        </w:rPr>
        <w:t>která začíná plynout od prvního dne, který následuje po dni doručení výpovědi.</w:t>
      </w:r>
    </w:p>
    <w:p w:rsidR="00DB12E5" w:rsidRPr="004C62A0" w:rsidRDefault="00DB12E5" w:rsidP="00DB12E5">
      <w:pPr>
        <w:numPr>
          <w:ilvl w:val="0"/>
          <w:numId w:val="2"/>
        </w:numPr>
        <w:tabs>
          <w:tab w:val="clear" w:pos="360"/>
          <w:tab w:val="clear" w:pos="567"/>
          <w:tab w:val="num" w:pos="284"/>
        </w:tabs>
        <w:ind w:left="284" w:hanging="284"/>
        <w:rPr>
          <w:rFonts w:cs="Arial"/>
          <w:sz w:val="20"/>
        </w:rPr>
      </w:pPr>
      <w:r w:rsidRPr="004C62A0">
        <w:rPr>
          <w:rFonts w:cs="Arial"/>
          <w:sz w:val="20"/>
        </w:rPr>
        <w:t>V případě jakéhokoli podstatného porušení smlouvy jako je prodlení o více jak jeden měsíc s úhradou nájemného dle článku III. nájemní smlouvy nebo jeho části či služeb, nájemce nesplní povinnost odstranit závadný stav, který vznikl nesplněním povinnosti nájem</w:t>
      </w:r>
      <w:r w:rsidR="00FD3702">
        <w:rPr>
          <w:rFonts w:cs="Arial"/>
          <w:sz w:val="20"/>
        </w:rPr>
        <w:t>ce uvedené v článku III</w:t>
      </w:r>
      <w:r w:rsidR="00FD3702" w:rsidRPr="008D353E">
        <w:rPr>
          <w:rFonts w:cs="Arial"/>
          <w:sz w:val="20"/>
        </w:rPr>
        <w:t xml:space="preserve">. odst. </w:t>
      </w:r>
      <w:r w:rsidR="008D353E">
        <w:rPr>
          <w:rFonts w:cs="Arial"/>
          <w:sz w:val="20"/>
        </w:rPr>
        <w:t>8</w:t>
      </w:r>
      <w:r w:rsidR="008D353E" w:rsidRPr="008D353E">
        <w:rPr>
          <w:rFonts w:cs="Arial"/>
          <w:sz w:val="20"/>
        </w:rPr>
        <w:t>. a 9.</w:t>
      </w:r>
      <w:r w:rsidRPr="008D353E">
        <w:rPr>
          <w:rFonts w:cs="Arial"/>
          <w:sz w:val="20"/>
        </w:rPr>
        <w:t xml:space="preserve">, </w:t>
      </w:r>
      <w:r w:rsidRPr="004C62A0">
        <w:rPr>
          <w:rFonts w:cs="Arial"/>
          <w:sz w:val="20"/>
        </w:rPr>
        <w:t>článku IV. odst. 1., 2., 4., 5., 7., 8., 9. této smlouvy, výpovědní doba činí jeden měsíc a začíná plynout následujícím dnem po dni doručení výpovědi.</w:t>
      </w:r>
    </w:p>
    <w:p w:rsidR="00DB12E5" w:rsidRPr="00DB12E5" w:rsidRDefault="00DB12E5" w:rsidP="00DB12E5">
      <w:pPr>
        <w:pStyle w:val="Odstavecseseznamem"/>
        <w:widowControl/>
        <w:numPr>
          <w:ilvl w:val="0"/>
          <w:numId w:val="2"/>
        </w:numPr>
        <w:tabs>
          <w:tab w:val="clear" w:pos="284"/>
          <w:tab w:val="clear" w:pos="360"/>
          <w:tab w:val="clear" w:pos="567"/>
          <w:tab w:val="clear" w:pos="851"/>
          <w:tab w:val="clear" w:pos="1134"/>
          <w:tab w:val="clear" w:pos="1418"/>
          <w:tab w:val="clear" w:pos="1701"/>
          <w:tab w:val="clear" w:pos="1985"/>
          <w:tab w:val="clear" w:pos="2268"/>
          <w:tab w:val="clear" w:pos="2552"/>
          <w:tab w:val="clear" w:pos="2835"/>
        </w:tabs>
        <w:overflowPunct/>
        <w:autoSpaceDE/>
        <w:autoSpaceDN/>
        <w:adjustRightInd/>
        <w:ind w:left="284" w:hanging="284"/>
        <w:textAlignment w:val="auto"/>
        <w:rPr>
          <w:rFonts w:cs="Arial"/>
          <w:sz w:val="20"/>
        </w:rPr>
      </w:pPr>
      <w:r w:rsidRPr="00DB12E5">
        <w:rPr>
          <w:rFonts w:cs="Arial"/>
          <w:sz w:val="20"/>
        </w:rPr>
        <w:t>Pronajímatel může vypovědět tuto smlouvu bez výpovědní doby při vzniku škody, hrozby vzniku značné škody, pokud nájemce neplní řádně a včas jakékoli své povinnosti stanovené v článku III. odst. 1) a 6., v článku IV. odst. 1., 2., 3. 4., 5., a 7. Výpovědí smlouvy bez výpovědní doby je smlouva ukončena dnem doručení písemné výpovědi smlouvy druhé smluvní straně.</w:t>
      </w:r>
    </w:p>
    <w:p w:rsidR="00DB12E5" w:rsidRDefault="00DB12E5" w:rsidP="00DB12E5">
      <w:pPr>
        <w:widowControl/>
        <w:numPr>
          <w:ilvl w:val="0"/>
          <w:numId w:val="2"/>
        </w:numPr>
        <w:tabs>
          <w:tab w:val="clear" w:pos="567"/>
          <w:tab w:val="clear" w:pos="851"/>
          <w:tab w:val="clear" w:pos="1134"/>
          <w:tab w:val="clear" w:pos="1418"/>
          <w:tab w:val="clear" w:pos="1701"/>
          <w:tab w:val="clear" w:pos="1985"/>
          <w:tab w:val="clear" w:pos="2268"/>
          <w:tab w:val="clear" w:pos="2552"/>
          <w:tab w:val="clear" w:pos="2835"/>
          <w:tab w:val="num" w:pos="284"/>
        </w:tabs>
        <w:overflowPunct/>
        <w:autoSpaceDE/>
        <w:autoSpaceDN/>
        <w:adjustRightInd/>
        <w:ind w:left="284" w:hanging="284"/>
        <w:textAlignment w:val="auto"/>
        <w:rPr>
          <w:rFonts w:cs="Arial"/>
          <w:sz w:val="20"/>
        </w:rPr>
      </w:pPr>
      <w:r w:rsidRPr="00206ED6">
        <w:rPr>
          <w:rFonts w:cs="Arial"/>
          <w:sz w:val="20"/>
        </w:rPr>
        <w:t>Nájemce je povinen předat pronajímateli nejpozději poslední den nájmu pronajatý pozemek ve stavu, v jakém byl předán nájemci s ohledem na obvyklé opotřebení a prostý staveb, nebude-li dohodnuto jinak.</w:t>
      </w:r>
    </w:p>
    <w:p w:rsidR="00DB12E5" w:rsidRPr="00862E51" w:rsidRDefault="00DB12E5" w:rsidP="00DB12E5">
      <w:pPr>
        <w:widowControl/>
        <w:numPr>
          <w:ilvl w:val="0"/>
          <w:numId w:val="2"/>
        </w:numPr>
        <w:tabs>
          <w:tab w:val="clear" w:pos="567"/>
          <w:tab w:val="clear" w:pos="851"/>
          <w:tab w:val="clear" w:pos="1134"/>
          <w:tab w:val="clear" w:pos="1418"/>
          <w:tab w:val="clear" w:pos="1701"/>
          <w:tab w:val="clear" w:pos="1985"/>
          <w:tab w:val="clear" w:pos="2268"/>
          <w:tab w:val="clear" w:pos="2552"/>
          <w:tab w:val="clear" w:pos="2835"/>
          <w:tab w:val="num" w:pos="284"/>
        </w:tabs>
        <w:overflowPunct/>
        <w:autoSpaceDE/>
        <w:autoSpaceDN/>
        <w:adjustRightInd/>
        <w:ind w:left="284" w:hanging="284"/>
        <w:textAlignment w:val="auto"/>
        <w:rPr>
          <w:rFonts w:cs="Arial"/>
          <w:sz w:val="20"/>
        </w:rPr>
      </w:pPr>
      <w:r w:rsidRPr="00862E51">
        <w:rPr>
          <w:rFonts w:cs="Arial"/>
          <w:sz w:val="20"/>
        </w:rPr>
        <w:t>Při nedodržení této doby je pronajímatel oprávněn účtovat za každý den prodlení s vyklizením a řádným předáním předmětu nájmu smluvní pokutu ve výši 1,5/365 platného ročního nájmu sjednaného dle článku III. této smlouvy.</w:t>
      </w:r>
    </w:p>
    <w:p w:rsidR="00BE43D0" w:rsidRPr="00206ED6" w:rsidRDefault="00BE43D0" w:rsidP="00BE43D0">
      <w:pPr>
        <w:pStyle w:val="boda"/>
        <w:widowControl/>
        <w:tabs>
          <w:tab w:val="clear" w:pos="284"/>
          <w:tab w:val="clear" w:pos="567"/>
          <w:tab w:val="clear" w:pos="851"/>
          <w:tab w:val="clear" w:pos="1134"/>
          <w:tab w:val="clear" w:pos="1418"/>
          <w:tab w:val="clear" w:pos="1701"/>
          <w:tab w:val="clear" w:pos="1985"/>
          <w:tab w:val="clear" w:pos="2268"/>
          <w:tab w:val="clear" w:pos="2552"/>
          <w:tab w:val="clear" w:pos="2835"/>
        </w:tabs>
        <w:ind w:left="0" w:firstLine="0"/>
        <w:rPr>
          <w:rFonts w:cs="Arial"/>
          <w:sz w:val="20"/>
        </w:rPr>
      </w:pPr>
    </w:p>
    <w:p w:rsidR="00BE43D0" w:rsidRDefault="00BE43D0" w:rsidP="00D07EAE">
      <w:pPr>
        <w:pStyle w:val="Nadpis1"/>
        <w:spacing w:before="0" w:after="120"/>
        <w:rPr>
          <w:rFonts w:cs="Arial"/>
          <w:sz w:val="20"/>
        </w:rPr>
      </w:pPr>
      <w:r w:rsidRPr="00C65DFB">
        <w:rPr>
          <w:rFonts w:cs="Arial"/>
          <w:sz w:val="20"/>
        </w:rPr>
        <w:t>VII. Ostatní ujednání</w:t>
      </w:r>
    </w:p>
    <w:p w:rsidR="00BE43D0" w:rsidRDefault="00BE43D0" w:rsidP="00420D3E">
      <w:pPr>
        <w:widowControl/>
        <w:numPr>
          <w:ilvl w:val="0"/>
          <w:numId w:val="5"/>
        </w:numPr>
        <w:tabs>
          <w:tab w:val="clear" w:pos="567"/>
          <w:tab w:val="clear" w:pos="851"/>
          <w:tab w:val="clear" w:pos="1134"/>
          <w:tab w:val="clear" w:pos="1418"/>
          <w:tab w:val="clear" w:pos="1701"/>
          <w:tab w:val="clear" w:pos="1985"/>
          <w:tab w:val="clear" w:pos="2268"/>
          <w:tab w:val="clear" w:pos="2552"/>
          <w:tab w:val="clear" w:pos="2835"/>
          <w:tab w:val="num" w:pos="284"/>
        </w:tabs>
        <w:overflowPunct/>
        <w:autoSpaceDE/>
        <w:autoSpaceDN/>
        <w:adjustRightInd/>
        <w:spacing w:after="100" w:afterAutospacing="1"/>
        <w:ind w:left="284" w:hanging="284"/>
        <w:textAlignment w:val="auto"/>
        <w:rPr>
          <w:rFonts w:cs="Arial"/>
          <w:sz w:val="20"/>
        </w:rPr>
      </w:pPr>
      <w:r w:rsidRPr="00206ED6">
        <w:rPr>
          <w:rFonts w:cs="Arial"/>
          <w:sz w:val="20"/>
        </w:rPr>
        <w:t>Jakékoliv vzdání se práva, prominutí dluhu nebo uznání závazku je platné pouze za předpokladu, že bude učiněno dohodou smluvních stran uzavřenou v listinné podobě a podepsanou oprávněnými zástupci obou smluvních stran.</w:t>
      </w:r>
    </w:p>
    <w:p w:rsidR="00BE43D0" w:rsidRPr="00206ED6" w:rsidRDefault="00BE43D0" w:rsidP="0025225B">
      <w:pPr>
        <w:widowControl/>
        <w:numPr>
          <w:ilvl w:val="0"/>
          <w:numId w:val="5"/>
        </w:numPr>
        <w:tabs>
          <w:tab w:val="clear" w:pos="567"/>
          <w:tab w:val="clear" w:pos="851"/>
          <w:tab w:val="clear" w:pos="1134"/>
          <w:tab w:val="clear" w:pos="1418"/>
          <w:tab w:val="clear" w:pos="1701"/>
          <w:tab w:val="clear" w:pos="1985"/>
          <w:tab w:val="clear" w:pos="2268"/>
          <w:tab w:val="clear" w:pos="2552"/>
          <w:tab w:val="clear" w:pos="2835"/>
          <w:tab w:val="num" w:pos="284"/>
        </w:tabs>
        <w:overflowPunct/>
        <w:autoSpaceDE/>
        <w:autoSpaceDN/>
        <w:adjustRightInd/>
        <w:spacing w:after="100" w:afterAutospacing="1"/>
        <w:ind w:left="284" w:hanging="284"/>
        <w:textAlignment w:val="auto"/>
        <w:rPr>
          <w:rFonts w:cs="Arial"/>
          <w:sz w:val="20"/>
        </w:rPr>
      </w:pPr>
      <w:r w:rsidRPr="00206ED6">
        <w:rPr>
          <w:rFonts w:cs="Arial"/>
          <w:sz w:val="20"/>
        </w:rPr>
        <w:t xml:space="preserve">Jakékoliv písemnosti předvídané v této smlouvě, musí </w:t>
      </w:r>
      <w:r>
        <w:rPr>
          <w:rFonts w:cs="Arial"/>
          <w:sz w:val="20"/>
        </w:rPr>
        <w:t xml:space="preserve">být </w:t>
      </w:r>
      <w:r w:rsidRPr="00206ED6">
        <w:rPr>
          <w:rFonts w:cs="Arial"/>
          <w:sz w:val="20"/>
        </w:rPr>
        <w:t xml:space="preserve">učiněny, není-li ve smlouvě výslovně stanoven opak, písemně v listinné podobě a musí být s vyloučením ust. § 566 zákona 89/2012 Sb., občanského zákoníku, řádně podepsané oprávněnými osobami. Jakékoliv jiné písemnosti, včetně e-mailové korespondence, jsou bez právního významu, není-li ve smlouvě výslovně stanoveno jinak. </w:t>
      </w:r>
    </w:p>
    <w:p w:rsidR="00BE43D0" w:rsidRPr="00206ED6" w:rsidRDefault="00BE43D0" w:rsidP="0025225B">
      <w:pPr>
        <w:widowControl/>
        <w:numPr>
          <w:ilvl w:val="0"/>
          <w:numId w:val="5"/>
        </w:numPr>
        <w:tabs>
          <w:tab w:val="clear" w:pos="567"/>
          <w:tab w:val="clear" w:pos="851"/>
          <w:tab w:val="clear" w:pos="1134"/>
          <w:tab w:val="clear" w:pos="1418"/>
          <w:tab w:val="clear" w:pos="1701"/>
          <w:tab w:val="clear" w:pos="1985"/>
          <w:tab w:val="clear" w:pos="2268"/>
          <w:tab w:val="clear" w:pos="2552"/>
          <w:tab w:val="clear" w:pos="2835"/>
          <w:tab w:val="num" w:pos="284"/>
        </w:tabs>
        <w:overflowPunct/>
        <w:autoSpaceDE/>
        <w:autoSpaceDN/>
        <w:adjustRightInd/>
        <w:spacing w:after="100" w:afterAutospacing="1"/>
        <w:ind w:left="284" w:hanging="284"/>
        <w:textAlignment w:val="auto"/>
        <w:rPr>
          <w:rFonts w:cs="Arial"/>
          <w:sz w:val="20"/>
        </w:rPr>
      </w:pPr>
      <w:r w:rsidRPr="00206ED6">
        <w:rPr>
          <w:rFonts w:cs="Arial"/>
          <w:sz w:val="20"/>
        </w:rPr>
        <w:t xml:space="preserve">Nájemce nemá právo na náhradu škody a pronajímatel není povinen hradit škodu vzniklou nájemci tím, že pronajímatel oprávněně započetl svou pohledávku vůči pohledávce nájemce, tj. smluvní strany vylučují ust. § 1990 zák. č. 89/2012 Sb., občanský zákoník. </w:t>
      </w:r>
    </w:p>
    <w:p w:rsidR="00BE43D0" w:rsidRPr="00F5289F" w:rsidRDefault="00BE43D0" w:rsidP="0025225B">
      <w:pPr>
        <w:widowControl/>
        <w:numPr>
          <w:ilvl w:val="0"/>
          <w:numId w:val="5"/>
        </w:numPr>
        <w:tabs>
          <w:tab w:val="clear" w:pos="567"/>
          <w:tab w:val="clear" w:pos="851"/>
          <w:tab w:val="clear" w:pos="1134"/>
          <w:tab w:val="clear" w:pos="1418"/>
          <w:tab w:val="clear" w:pos="1701"/>
          <w:tab w:val="clear" w:pos="1985"/>
          <w:tab w:val="clear" w:pos="2268"/>
          <w:tab w:val="clear" w:pos="2552"/>
          <w:tab w:val="clear" w:pos="2835"/>
          <w:tab w:val="num" w:pos="284"/>
        </w:tabs>
        <w:overflowPunct/>
        <w:autoSpaceDE/>
        <w:autoSpaceDN/>
        <w:adjustRightInd/>
        <w:spacing w:after="100" w:afterAutospacing="1"/>
        <w:ind w:left="284" w:hanging="284"/>
        <w:textAlignment w:val="auto"/>
        <w:rPr>
          <w:rFonts w:cs="Arial"/>
          <w:sz w:val="20"/>
        </w:rPr>
      </w:pPr>
      <w:r w:rsidRPr="00206ED6">
        <w:rPr>
          <w:rFonts w:cs="Arial"/>
          <w:sz w:val="20"/>
        </w:rPr>
        <w:t>Nájemce není oprávněn převést svá práva a povinnosti ze smlouvy nebo její části na třetí osobu bez předchozího výslovného souhlasu pronajímatele; Pronajímatel si tímto vyhrazuje právo takový souhlas neudělit, a to i bez udání důvodu. Za účelem zvážení, zda takový souhlas s převodem pronajímatel udělí či nikoli, je nájemce povinen mu opatřit a dodat veškeré informace a dokumenty, o které pronajímatel požádá</w:t>
      </w:r>
      <w:r>
        <w:rPr>
          <w:rFonts w:cs="Arial"/>
          <w:sz w:val="20"/>
        </w:rPr>
        <w:t xml:space="preserve">. </w:t>
      </w:r>
    </w:p>
    <w:p w:rsidR="0025225B" w:rsidRDefault="00BE43D0" w:rsidP="0025225B">
      <w:pPr>
        <w:pStyle w:val="Zkladntextodsazen31"/>
        <w:numPr>
          <w:ilvl w:val="0"/>
          <w:numId w:val="5"/>
        </w:numPr>
        <w:tabs>
          <w:tab w:val="clear" w:pos="360"/>
          <w:tab w:val="num" w:pos="284"/>
        </w:tabs>
        <w:spacing w:after="100" w:afterAutospacing="1"/>
        <w:ind w:left="284"/>
        <w:jc w:val="both"/>
        <w:rPr>
          <w:rFonts w:ascii="Arial" w:hAnsi="Arial" w:cs="Arial"/>
          <w:sz w:val="20"/>
          <w:szCs w:val="20"/>
        </w:rPr>
      </w:pPr>
      <w:r w:rsidRPr="00C57C3A">
        <w:rPr>
          <w:rFonts w:ascii="Arial" w:hAnsi="Arial" w:cs="Arial"/>
          <w:sz w:val="20"/>
          <w:szCs w:val="20"/>
        </w:rPr>
        <w:t>Nájemce proh</w:t>
      </w:r>
      <w:r>
        <w:rPr>
          <w:rFonts w:ascii="Arial" w:hAnsi="Arial" w:cs="Arial"/>
          <w:sz w:val="20"/>
          <w:szCs w:val="20"/>
        </w:rPr>
        <w:t>lašuje, že bere na vědomí Etický kodex</w:t>
      </w:r>
      <w:r w:rsidRPr="00C57C3A">
        <w:rPr>
          <w:rFonts w:ascii="Arial" w:hAnsi="Arial" w:cs="Arial"/>
          <w:sz w:val="20"/>
          <w:szCs w:val="20"/>
        </w:rPr>
        <w:t xml:space="preserve"> </w:t>
      </w:r>
      <w:r>
        <w:rPr>
          <w:rFonts w:ascii="Arial" w:hAnsi="Arial" w:cs="Arial"/>
          <w:sz w:val="20"/>
          <w:szCs w:val="20"/>
        </w:rPr>
        <w:t xml:space="preserve">obchodního partnera společnosti České dráhy, a.s. </w:t>
      </w:r>
      <w:r w:rsidRPr="00C57C3A">
        <w:rPr>
          <w:rFonts w:ascii="Arial" w:hAnsi="Arial" w:cs="Arial"/>
          <w:sz w:val="20"/>
          <w:szCs w:val="20"/>
        </w:rPr>
        <w:t xml:space="preserve">zveřejněný trvale na webové stránce http://www.ceskedrahy.cz/skupina-cd/eticky-kodex/-30201/, zavazuje se dodržovat zásady v něm uvedené, a pro případ porušení Etického kodexu </w:t>
      </w:r>
      <w:r>
        <w:rPr>
          <w:rFonts w:ascii="Arial" w:hAnsi="Arial" w:cs="Arial"/>
          <w:sz w:val="20"/>
          <w:szCs w:val="20"/>
        </w:rPr>
        <w:t xml:space="preserve">obchodního partnera společnosti </w:t>
      </w:r>
      <w:r w:rsidRPr="00C57C3A">
        <w:rPr>
          <w:rFonts w:ascii="Arial" w:hAnsi="Arial" w:cs="Arial"/>
          <w:sz w:val="20"/>
          <w:szCs w:val="20"/>
        </w:rPr>
        <w:t>České dráhy, a.s. - kterým se rozumí porušení závazků či nepravdivost prohlášení zhotovitelem takto učiněná, bere na vědomí, že zároveň dochází k porušení smlouvy s důsledky v ní sje</w:t>
      </w:r>
      <w:r w:rsidR="006901C4">
        <w:rPr>
          <w:rFonts w:ascii="Arial" w:hAnsi="Arial" w:cs="Arial"/>
          <w:sz w:val="20"/>
          <w:szCs w:val="20"/>
        </w:rPr>
        <w:t>dnanými a předvídanými v čl. IV</w:t>
      </w:r>
      <w:r>
        <w:rPr>
          <w:rFonts w:ascii="Arial" w:hAnsi="Arial" w:cs="Arial"/>
          <w:sz w:val="20"/>
          <w:szCs w:val="20"/>
        </w:rPr>
        <w:t>. Etického kodexu obchodního partnera s</w:t>
      </w:r>
      <w:r w:rsidRPr="00C57C3A">
        <w:rPr>
          <w:rFonts w:ascii="Arial" w:hAnsi="Arial" w:cs="Arial"/>
          <w:sz w:val="20"/>
          <w:szCs w:val="20"/>
        </w:rPr>
        <w:t>polečnosti České dráhy, a.s.</w:t>
      </w:r>
    </w:p>
    <w:p w:rsidR="001870E4" w:rsidRDefault="001870E4" w:rsidP="001870E4">
      <w:pPr>
        <w:pStyle w:val="Zkladntextodsazen31"/>
        <w:numPr>
          <w:ilvl w:val="0"/>
          <w:numId w:val="5"/>
        </w:numPr>
        <w:tabs>
          <w:tab w:val="clear" w:pos="360"/>
        </w:tabs>
        <w:spacing w:after="100" w:afterAutospacing="1"/>
        <w:ind w:left="284" w:hanging="284"/>
        <w:jc w:val="both"/>
        <w:rPr>
          <w:rFonts w:ascii="Arial" w:hAnsi="Arial" w:cs="Arial"/>
          <w:sz w:val="20"/>
          <w:szCs w:val="20"/>
        </w:rPr>
      </w:pPr>
      <w:r w:rsidRPr="001870E4">
        <w:rPr>
          <w:rFonts w:ascii="Arial" w:hAnsi="Arial" w:cs="Arial"/>
          <w:sz w:val="20"/>
          <w:szCs w:val="20"/>
        </w:rPr>
        <w:t>Smluvní strany prohlašují, že se na tuto nájemní smlouvu nevztahuje povinnost jejího uveřejnění prostřednictvím registru smluv podle ustanovení § 3 odst. 2 písm. h) zákona č. 340/2015 Sb., o zvláštních podmínkách účinnosti některých smluv, uveřejňování těchto smluv a o registru smluv, ve znění pozdějších předpisů, neboť se jedná smlouvu, kdy výše hodnoty jejího předmětu je 50 000 Kč bez daně z přidané hodnoty nebo nižší</w:t>
      </w:r>
      <w:r>
        <w:rPr>
          <w:rFonts w:ascii="Arial" w:hAnsi="Arial" w:cs="Arial"/>
          <w:sz w:val="20"/>
          <w:szCs w:val="20"/>
        </w:rPr>
        <w:t>.</w:t>
      </w:r>
    </w:p>
    <w:p w:rsidR="00BE43D0" w:rsidRPr="00D07EAE" w:rsidRDefault="00BE43D0" w:rsidP="00D07EAE">
      <w:pPr>
        <w:pStyle w:val="Zkladntextodsazen31"/>
        <w:tabs>
          <w:tab w:val="num" w:pos="284"/>
        </w:tabs>
        <w:spacing w:before="120" w:after="120"/>
        <w:ind w:left="425" w:hanging="425"/>
        <w:jc w:val="center"/>
        <w:rPr>
          <w:rFonts w:ascii="Arial" w:hAnsi="Arial" w:cs="Arial"/>
          <w:b/>
          <w:sz w:val="20"/>
        </w:rPr>
      </w:pPr>
      <w:r w:rsidRPr="00183103">
        <w:rPr>
          <w:rFonts w:ascii="Arial" w:hAnsi="Arial" w:cs="Arial"/>
          <w:b/>
          <w:sz w:val="20"/>
        </w:rPr>
        <w:t>VIII. Závěrečná ustanovení</w:t>
      </w:r>
    </w:p>
    <w:p w:rsidR="00BE43D0" w:rsidRPr="00206ED6" w:rsidRDefault="00BE43D0" w:rsidP="00BE43D0">
      <w:pPr>
        <w:numPr>
          <w:ilvl w:val="0"/>
          <w:numId w:val="7"/>
        </w:numPr>
        <w:tabs>
          <w:tab w:val="clear" w:pos="567"/>
          <w:tab w:val="clear" w:pos="720"/>
          <w:tab w:val="clear" w:pos="851"/>
          <w:tab w:val="clear" w:pos="1134"/>
          <w:tab w:val="clear" w:pos="1418"/>
          <w:tab w:val="clear" w:pos="1701"/>
          <w:tab w:val="clear" w:pos="1985"/>
          <w:tab w:val="clear" w:pos="2268"/>
          <w:tab w:val="clear" w:pos="2552"/>
          <w:tab w:val="clear" w:pos="2835"/>
          <w:tab w:val="num" w:pos="284"/>
        </w:tabs>
        <w:suppressAutoHyphens/>
        <w:overflowPunct/>
        <w:autoSpaceDE/>
        <w:autoSpaceDN/>
        <w:adjustRightInd/>
        <w:ind w:left="284"/>
        <w:textAlignment w:val="auto"/>
        <w:rPr>
          <w:rFonts w:cs="Arial"/>
          <w:sz w:val="20"/>
        </w:rPr>
      </w:pPr>
      <w:r w:rsidRPr="00206ED6">
        <w:rPr>
          <w:rFonts w:cs="Arial"/>
          <w:sz w:val="20"/>
        </w:rPr>
        <w:t>Veškeré spory z této smlouvy budou řešeny jednáním. V případě jakéhokoli sporu z této smlouvy nebo v její souvislosti s ní, kdy se smluvní strany nebudou moci dohodnout na změně, doplnění či zrušení této smlouvy, rozhodne příslušný soud.</w:t>
      </w:r>
    </w:p>
    <w:p w:rsidR="00BE43D0" w:rsidRPr="00206ED6" w:rsidRDefault="0080035D" w:rsidP="00BE43D0">
      <w:pPr>
        <w:numPr>
          <w:ilvl w:val="0"/>
          <w:numId w:val="7"/>
        </w:numPr>
        <w:tabs>
          <w:tab w:val="clear" w:pos="567"/>
          <w:tab w:val="clear" w:pos="720"/>
          <w:tab w:val="clear" w:pos="851"/>
          <w:tab w:val="clear" w:pos="1134"/>
          <w:tab w:val="clear" w:pos="1418"/>
          <w:tab w:val="clear" w:pos="1701"/>
          <w:tab w:val="clear" w:pos="1985"/>
          <w:tab w:val="clear" w:pos="2268"/>
          <w:tab w:val="clear" w:pos="2552"/>
          <w:tab w:val="clear" w:pos="2835"/>
          <w:tab w:val="num" w:pos="284"/>
        </w:tabs>
        <w:suppressAutoHyphens/>
        <w:overflowPunct/>
        <w:autoSpaceDE/>
        <w:autoSpaceDN/>
        <w:adjustRightInd/>
        <w:ind w:left="284"/>
        <w:textAlignment w:val="auto"/>
        <w:rPr>
          <w:rFonts w:cs="Arial"/>
          <w:sz w:val="20"/>
        </w:rPr>
      </w:pPr>
      <w:r>
        <w:rPr>
          <w:rFonts w:cs="Arial"/>
          <w:sz w:val="20"/>
        </w:rPr>
        <w:t>S</w:t>
      </w:r>
      <w:r w:rsidR="00BE43D0">
        <w:rPr>
          <w:rFonts w:cs="Arial"/>
          <w:sz w:val="20"/>
        </w:rPr>
        <w:t xml:space="preserve">mluvní </w:t>
      </w:r>
      <w:r w:rsidR="00BE43D0" w:rsidRPr="00206ED6">
        <w:rPr>
          <w:rFonts w:cs="Arial"/>
          <w:sz w:val="20"/>
        </w:rPr>
        <w:t>strany se dohodly, že veškerá jednání a veškeré písemnosti budou vedeny v jazyce českém a veškeré případné spory se budou řešit podle Českého právního řádu v jazyce českém u místně příslušného soudu.</w:t>
      </w:r>
    </w:p>
    <w:p w:rsidR="00BE43D0" w:rsidRPr="00206ED6" w:rsidRDefault="00BE43D0" w:rsidP="00BE43D0">
      <w:pPr>
        <w:numPr>
          <w:ilvl w:val="0"/>
          <w:numId w:val="7"/>
        </w:numPr>
        <w:tabs>
          <w:tab w:val="clear" w:pos="567"/>
          <w:tab w:val="clear" w:pos="720"/>
          <w:tab w:val="clear" w:pos="851"/>
          <w:tab w:val="clear" w:pos="1134"/>
          <w:tab w:val="clear" w:pos="1418"/>
          <w:tab w:val="clear" w:pos="1701"/>
          <w:tab w:val="clear" w:pos="1985"/>
          <w:tab w:val="clear" w:pos="2268"/>
          <w:tab w:val="clear" w:pos="2552"/>
          <w:tab w:val="clear" w:pos="2835"/>
          <w:tab w:val="num" w:pos="284"/>
        </w:tabs>
        <w:suppressAutoHyphens/>
        <w:overflowPunct/>
        <w:autoSpaceDE/>
        <w:autoSpaceDN/>
        <w:adjustRightInd/>
        <w:ind w:left="284"/>
        <w:textAlignment w:val="auto"/>
        <w:rPr>
          <w:rFonts w:cs="Arial"/>
          <w:sz w:val="20"/>
        </w:rPr>
      </w:pPr>
      <w:r w:rsidRPr="00206ED6">
        <w:rPr>
          <w:rFonts w:cs="Arial"/>
          <w:sz w:val="20"/>
        </w:rPr>
        <w:t>Smluvní strany prohlašují, že se seznámily s obsahem této smlouvy a prohlašují, že byla uzavřena na základě vzájemné svobodné vůle obou smluvních stran.</w:t>
      </w:r>
    </w:p>
    <w:p w:rsidR="00BE43D0" w:rsidRPr="002B4447" w:rsidRDefault="00BE43D0" w:rsidP="00BE43D0">
      <w:pPr>
        <w:numPr>
          <w:ilvl w:val="0"/>
          <w:numId w:val="7"/>
        </w:numPr>
        <w:tabs>
          <w:tab w:val="clear" w:pos="567"/>
          <w:tab w:val="clear" w:pos="720"/>
          <w:tab w:val="clear" w:pos="851"/>
          <w:tab w:val="clear" w:pos="1134"/>
          <w:tab w:val="clear" w:pos="1418"/>
          <w:tab w:val="clear" w:pos="1701"/>
          <w:tab w:val="clear" w:pos="1985"/>
          <w:tab w:val="clear" w:pos="2268"/>
          <w:tab w:val="clear" w:pos="2552"/>
          <w:tab w:val="clear" w:pos="2835"/>
          <w:tab w:val="num" w:pos="284"/>
        </w:tabs>
        <w:suppressAutoHyphens/>
        <w:overflowPunct/>
        <w:autoSpaceDE/>
        <w:autoSpaceDN/>
        <w:adjustRightInd/>
        <w:ind w:left="284"/>
        <w:textAlignment w:val="auto"/>
        <w:rPr>
          <w:rFonts w:cs="Arial"/>
          <w:sz w:val="20"/>
        </w:rPr>
      </w:pPr>
      <w:r w:rsidRPr="00206ED6">
        <w:rPr>
          <w:rFonts w:cs="Arial"/>
          <w:sz w:val="20"/>
        </w:rPr>
        <w:lastRenderedPageBreak/>
        <w:t>Veškeré změny nebo doplnění této smlouvy musí být učiněno formou písemného dodatku podepsaného oprávněnými zástupci obou smluvních stran, jinak je taková změna nebo doplnění smlouvy neplatné,</w:t>
      </w:r>
      <w:r w:rsidRPr="00206ED6">
        <w:rPr>
          <w:rFonts w:cs="Arial"/>
          <w:sz w:val="20"/>
          <w:lang w:eastAsia="ar-SA"/>
        </w:rPr>
        <w:t xml:space="preserve"> vyjma úpravy ceny nájemného inflací (a úpravy o DPH) a s tím související úpravou splátkového kalendáře, které je pronajímatel povinen oznámit nájemci doporučeným dopisem,</w:t>
      </w:r>
      <w:r w:rsidRPr="00206ED6">
        <w:rPr>
          <w:rFonts w:cs="Arial"/>
          <w:sz w:val="20"/>
        </w:rPr>
        <w:t xml:space="preserve"> přičemž pro vyloučení </w:t>
      </w:r>
    </w:p>
    <w:p w:rsidR="00BE43D0" w:rsidRPr="00206ED6" w:rsidRDefault="00BE43D0" w:rsidP="00BE43D0">
      <w:p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ind w:left="284"/>
        <w:textAlignment w:val="auto"/>
        <w:rPr>
          <w:rFonts w:cs="Arial"/>
          <w:sz w:val="20"/>
        </w:rPr>
      </w:pPr>
      <w:r w:rsidRPr="00206ED6">
        <w:rPr>
          <w:rFonts w:cs="Arial"/>
          <w:sz w:val="20"/>
        </w:rPr>
        <w:t xml:space="preserve">pochybností smluvní strany konstatují, že písemná forma není zachována při právním jednání učiněném elektronickými nebo technickými prostředky ve smyslu ust. § 562 zákona 89/2012 Sb., občanského zákoníku, za písemnou formu se považuje pouze forma listinná. Podepsané přílohy a dodatky, vzestupně číslované, se dnem jejich uzavření stávají součástí této smlouvy. </w:t>
      </w:r>
    </w:p>
    <w:p w:rsidR="00BE43D0" w:rsidRPr="00206ED6" w:rsidRDefault="00BE43D0" w:rsidP="00BE43D0">
      <w:pPr>
        <w:numPr>
          <w:ilvl w:val="0"/>
          <w:numId w:val="7"/>
        </w:numPr>
        <w:tabs>
          <w:tab w:val="clear" w:pos="567"/>
          <w:tab w:val="clear" w:pos="720"/>
          <w:tab w:val="clear" w:pos="851"/>
          <w:tab w:val="clear" w:pos="1134"/>
          <w:tab w:val="clear" w:pos="1418"/>
          <w:tab w:val="clear" w:pos="1701"/>
          <w:tab w:val="clear" w:pos="1985"/>
          <w:tab w:val="clear" w:pos="2268"/>
          <w:tab w:val="clear" w:pos="2552"/>
          <w:tab w:val="clear" w:pos="2835"/>
          <w:tab w:val="num" w:pos="284"/>
        </w:tabs>
        <w:suppressAutoHyphens/>
        <w:overflowPunct/>
        <w:autoSpaceDE/>
        <w:autoSpaceDN/>
        <w:adjustRightInd/>
        <w:ind w:left="284"/>
        <w:textAlignment w:val="auto"/>
        <w:rPr>
          <w:rFonts w:cs="Arial"/>
          <w:sz w:val="20"/>
        </w:rPr>
      </w:pPr>
      <w:r w:rsidRPr="00206ED6">
        <w:rPr>
          <w:rFonts w:cs="Arial"/>
          <w:sz w:val="20"/>
        </w:rPr>
        <w:t xml:space="preserve">Smluvní strany se dohodly na tom, že písemnosti touto smlouvou předpokládané (např. výpověď, uplatnění inflace, (účtování DPH) apod.) budou druhé </w:t>
      </w:r>
      <w:r>
        <w:rPr>
          <w:rFonts w:cs="Arial"/>
          <w:sz w:val="20"/>
        </w:rPr>
        <w:t xml:space="preserve">smluvní </w:t>
      </w:r>
      <w:r w:rsidRPr="00206ED6">
        <w:rPr>
          <w:rFonts w:cs="Arial"/>
          <w:sz w:val="20"/>
        </w:rPr>
        <w:t>straně zasílány výhradně doporučeným dopisem, a to na adresu uvedenou v záhlaví této smlouvy nebo na písemně oznámenou případnou změnu adresy, doručenou druhé straně. Nebude-li na této adrese zásilka úspěšně doručena či převzata oprávněnou osobou smluvní strany, nebude-li tato zásilka vyzvednuta a držitel poštovní licence doporučenou zásilku vrátí zpět, za úspěšné doručení se všemi právními následky bude považován třetí den od prokazatelného odeslání zásilky druhou stranou.</w:t>
      </w:r>
    </w:p>
    <w:p w:rsidR="00BE43D0" w:rsidRDefault="00BE43D0" w:rsidP="00BE43D0">
      <w:pPr>
        <w:numPr>
          <w:ilvl w:val="0"/>
          <w:numId w:val="7"/>
        </w:numPr>
        <w:tabs>
          <w:tab w:val="clear" w:pos="567"/>
          <w:tab w:val="clear" w:pos="720"/>
          <w:tab w:val="clear" w:pos="851"/>
          <w:tab w:val="clear" w:pos="1134"/>
          <w:tab w:val="clear" w:pos="1418"/>
          <w:tab w:val="clear" w:pos="1701"/>
          <w:tab w:val="clear" w:pos="1985"/>
          <w:tab w:val="clear" w:pos="2268"/>
          <w:tab w:val="clear" w:pos="2552"/>
          <w:tab w:val="clear" w:pos="2835"/>
          <w:tab w:val="num" w:pos="284"/>
        </w:tabs>
        <w:suppressAutoHyphens/>
        <w:overflowPunct/>
        <w:autoSpaceDE/>
        <w:autoSpaceDN/>
        <w:adjustRightInd/>
        <w:ind w:left="284"/>
        <w:textAlignment w:val="auto"/>
        <w:rPr>
          <w:rFonts w:cs="Arial"/>
          <w:sz w:val="20"/>
          <w:lang w:eastAsia="ar-SA"/>
        </w:rPr>
      </w:pPr>
      <w:r w:rsidRPr="00206ED6">
        <w:rPr>
          <w:rFonts w:cs="Arial"/>
          <w:sz w:val="20"/>
        </w:rPr>
        <w:t>Je-li nebo stane-li se kdykoli jakékoli ustanovení této smlouvy či jejího dodatku v jakémkoli ohledu nezákonným, neplatným či nevynutitelným podle kteréhokoli právního řádu, podle kterého může být jeho zákonnost, platnost či vynutitelnost posuzována, zákonnost, platnost a vynutitelnost ostatních ustanovení, stejně jako zákonnost, platnost a vynutitelnost tohoto ustanovení podle jiného právního řádu nebude jakkoli dotčena či omezena.</w:t>
      </w:r>
    </w:p>
    <w:p w:rsidR="00BE43D0" w:rsidRPr="00206ED6" w:rsidRDefault="00BE43D0" w:rsidP="00BE43D0">
      <w:pPr>
        <w:numPr>
          <w:ilvl w:val="0"/>
          <w:numId w:val="7"/>
        </w:numPr>
        <w:tabs>
          <w:tab w:val="clear" w:pos="567"/>
          <w:tab w:val="clear" w:pos="720"/>
          <w:tab w:val="clear" w:pos="851"/>
          <w:tab w:val="clear" w:pos="1134"/>
          <w:tab w:val="clear" w:pos="1418"/>
          <w:tab w:val="clear" w:pos="1701"/>
          <w:tab w:val="clear" w:pos="1985"/>
          <w:tab w:val="clear" w:pos="2268"/>
          <w:tab w:val="clear" w:pos="2552"/>
          <w:tab w:val="clear" w:pos="2835"/>
          <w:tab w:val="num" w:pos="284"/>
        </w:tabs>
        <w:suppressAutoHyphens/>
        <w:overflowPunct/>
        <w:autoSpaceDE/>
        <w:autoSpaceDN/>
        <w:adjustRightInd/>
        <w:ind w:left="284"/>
        <w:textAlignment w:val="auto"/>
        <w:rPr>
          <w:rFonts w:cs="Arial"/>
          <w:sz w:val="20"/>
          <w:lang w:eastAsia="ar-SA"/>
        </w:rPr>
      </w:pPr>
      <w:r w:rsidRPr="00206ED6">
        <w:rPr>
          <w:rFonts w:cs="Arial"/>
          <w:sz w:val="20"/>
          <w:lang w:eastAsia="ar-SA"/>
        </w:rPr>
        <w:t xml:space="preserve">Tato smlouva je vyhotovena ve 3 vyhotoveních, z nichž nájemce obdrží 1 a pronajímatel 2. Vyhotovení mají platnost originálu. </w:t>
      </w:r>
    </w:p>
    <w:p w:rsidR="00BE43D0" w:rsidRDefault="00BE43D0" w:rsidP="00BE43D0">
      <w:pPr>
        <w:numPr>
          <w:ilvl w:val="0"/>
          <w:numId w:val="7"/>
        </w:numPr>
        <w:tabs>
          <w:tab w:val="clear" w:pos="567"/>
          <w:tab w:val="clear" w:pos="720"/>
          <w:tab w:val="clear" w:pos="851"/>
          <w:tab w:val="clear" w:pos="1134"/>
          <w:tab w:val="clear" w:pos="1418"/>
          <w:tab w:val="clear" w:pos="1701"/>
          <w:tab w:val="clear" w:pos="1985"/>
          <w:tab w:val="clear" w:pos="2268"/>
          <w:tab w:val="clear" w:pos="2552"/>
          <w:tab w:val="clear" w:pos="2835"/>
          <w:tab w:val="num" w:pos="284"/>
        </w:tabs>
        <w:suppressAutoHyphens/>
        <w:overflowPunct/>
        <w:autoSpaceDE/>
        <w:autoSpaceDN/>
        <w:adjustRightInd/>
        <w:ind w:left="284"/>
        <w:textAlignment w:val="auto"/>
        <w:rPr>
          <w:rFonts w:cs="Arial"/>
          <w:sz w:val="20"/>
          <w:lang w:eastAsia="ar-SA"/>
        </w:rPr>
      </w:pPr>
      <w:r w:rsidRPr="00206ED6">
        <w:rPr>
          <w:rFonts w:cs="Arial"/>
          <w:sz w:val="20"/>
          <w:lang w:eastAsia="ar-SA"/>
        </w:rPr>
        <w:t>Přílohy a současn</w:t>
      </w:r>
      <w:r>
        <w:rPr>
          <w:rFonts w:cs="Arial"/>
          <w:sz w:val="20"/>
          <w:lang w:eastAsia="ar-SA"/>
        </w:rPr>
        <w:t>ě nedílná součást smlouvy jsou:</w:t>
      </w:r>
    </w:p>
    <w:p w:rsidR="00C851F9" w:rsidRPr="00235D71" w:rsidRDefault="00C851F9" w:rsidP="004622FD">
      <w:p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textAlignment w:val="auto"/>
        <w:rPr>
          <w:rFonts w:cs="Arial"/>
          <w:sz w:val="20"/>
          <w:lang w:eastAsia="ar-SA"/>
        </w:rPr>
      </w:pPr>
    </w:p>
    <w:p w:rsidR="0097735F" w:rsidRPr="00C65DFB" w:rsidRDefault="004622FD" w:rsidP="00BE43D0">
      <w:pPr>
        <w:ind w:left="284"/>
        <w:rPr>
          <w:rFonts w:cs="Arial"/>
          <w:sz w:val="20"/>
          <w:lang w:eastAsia="ar-SA"/>
        </w:rPr>
      </w:pPr>
      <w:r>
        <w:rPr>
          <w:rFonts w:cs="Arial"/>
          <w:sz w:val="20"/>
          <w:lang w:eastAsia="ar-SA"/>
        </w:rPr>
        <w:t>Příloha č. 1</w:t>
      </w:r>
      <w:r w:rsidR="002F4B93">
        <w:rPr>
          <w:rFonts w:cs="Arial"/>
          <w:sz w:val="20"/>
          <w:lang w:eastAsia="ar-SA"/>
        </w:rPr>
        <w:t xml:space="preserve"> </w:t>
      </w:r>
      <w:bookmarkStart w:id="0" w:name="_GoBack"/>
      <w:bookmarkEnd w:id="0"/>
      <w:r w:rsidR="00BE43D0" w:rsidRPr="00C65DFB">
        <w:rPr>
          <w:rFonts w:cs="Arial"/>
          <w:sz w:val="20"/>
          <w:lang w:eastAsia="ar-SA"/>
        </w:rPr>
        <w:t>–</w:t>
      </w:r>
      <w:r w:rsidR="0097735F" w:rsidRPr="00C65DFB">
        <w:rPr>
          <w:rFonts w:cs="Arial"/>
          <w:sz w:val="20"/>
          <w:lang w:eastAsia="ar-SA"/>
        </w:rPr>
        <w:t xml:space="preserve"> Záborový elaborát</w:t>
      </w:r>
    </w:p>
    <w:p w:rsidR="00BE43D0" w:rsidRDefault="004622FD" w:rsidP="00BE43D0">
      <w:pPr>
        <w:ind w:left="284"/>
        <w:rPr>
          <w:rFonts w:cs="Arial"/>
          <w:sz w:val="20"/>
          <w:lang w:eastAsia="ar-SA"/>
        </w:rPr>
      </w:pPr>
      <w:r>
        <w:rPr>
          <w:rFonts w:cs="Arial"/>
          <w:sz w:val="20"/>
          <w:lang w:eastAsia="ar-SA"/>
        </w:rPr>
        <w:t>Příloha č. 2</w:t>
      </w:r>
      <w:r w:rsidR="00DF7849" w:rsidRPr="00C65DFB">
        <w:rPr>
          <w:rFonts w:cs="Arial"/>
          <w:sz w:val="20"/>
          <w:lang w:eastAsia="ar-SA"/>
        </w:rPr>
        <w:t xml:space="preserve">  - </w:t>
      </w:r>
      <w:r w:rsidR="0097735F" w:rsidRPr="00C65DFB">
        <w:rPr>
          <w:rFonts w:cs="Arial"/>
          <w:sz w:val="20"/>
        </w:rPr>
        <w:t>Rizika BOZP ČD, a.s.</w:t>
      </w:r>
    </w:p>
    <w:p w:rsidR="00BE43D0" w:rsidRDefault="00BE43D0" w:rsidP="00BE43D0">
      <w:pPr>
        <w:rPr>
          <w:rFonts w:cs="Arial"/>
          <w:sz w:val="20"/>
        </w:rPr>
      </w:pPr>
      <w:r>
        <w:rPr>
          <w:rFonts w:cs="Arial"/>
          <w:sz w:val="20"/>
        </w:rPr>
        <w:tab/>
        <w:t xml:space="preserve"> </w:t>
      </w:r>
    </w:p>
    <w:p w:rsidR="009C2B54" w:rsidRDefault="009C2B54" w:rsidP="00BE43D0">
      <w:pPr>
        <w:rPr>
          <w:rFonts w:cs="Arial"/>
          <w:sz w:val="20"/>
        </w:rPr>
      </w:pPr>
    </w:p>
    <w:p w:rsidR="009C2B54" w:rsidRDefault="009C2B54" w:rsidP="00BE43D0">
      <w:pPr>
        <w:rPr>
          <w:rFonts w:cs="Arial"/>
          <w:sz w:val="20"/>
        </w:rPr>
      </w:pPr>
    </w:p>
    <w:p w:rsidR="009C2B54" w:rsidRPr="00206ED6" w:rsidRDefault="009C2B54" w:rsidP="00BE43D0">
      <w:pPr>
        <w:rPr>
          <w:rFonts w:cs="Arial"/>
          <w:sz w:val="20"/>
        </w:rPr>
      </w:pPr>
    </w:p>
    <w:p w:rsidR="00BE43D0" w:rsidRPr="00206ED6" w:rsidRDefault="00BE43D0" w:rsidP="00BE43D0">
      <w:pPr>
        <w:rPr>
          <w:rFonts w:cs="Arial"/>
          <w:sz w:val="20"/>
        </w:rPr>
      </w:pPr>
    </w:p>
    <w:tbl>
      <w:tblPr>
        <w:tblpPr w:leftFromText="141" w:rightFromText="141" w:vertAnchor="text" w:tblpY="2"/>
        <w:tblW w:w="0" w:type="auto"/>
        <w:tblLook w:val="04A0" w:firstRow="1" w:lastRow="0" w:firstColumn="1" w:lastColumn="0" w:noHBand="0" w:noVBand="1"/>
      </w:tblPr>
      <w:tblGrid>
        <w:gridCol w:w="4768"/>
        <w:gridCol w:w="4769"/>
      </w:tblGrid>
      <w:tr w:rsidR="00BE43D0" w:rsidRPr="00206ED6" w:rsidTr="000B303F">
        <w:trPr>
          <w:trHeight w:val="1834"/>
        </w:trPr>
        <w:tc>
          <w:tcPr>
            <w:tcW w:w="4768" w:type="dxa"/>
          </w:tcPr>
          <w:p w:rsidR="00BE43D0" w:rsidRPr="00F011CD" w:rsidRDefault="009A4140" w:rsidP="000B303F">
            <w:pPr>
              <w:tabs>
                <w:tab w:val="left" w:pos="0"/>
                <w:tab w:val="left" w:pos="5670"/>
                <w:tab w:val="left" w:pos="6120"/>
              </w:tabs>
              <w:spacing w:before="120"/>
              <w:rPr>
                <w:rFonts w:cs="Arial"/>
                <w:color w:val="000000"/>
                <w:sz w:val="20"/>
              </w:rPr>
            </w:pPr>
            <w:r>
              <w:rPr>
                <w:rFonts w:cs="Arial"/>
                <w:color w:val="000000"/>
                <w:sz w:val="20"/>
              </w:rPr>
              <w:t xml:space="preserve">V </w:t>
            </w:r>
            <w:r w:rsidR="006F63CD">
              <w:rPr>
                <w:rFonts w:cs="Arial"/>
                <w:color w:val="000000"/>
                <w:sz w:val="20"/>
              </w:rPr>
              <w:t>……………</w:t>
            </w:r>
            <w:r w:rsidR="003353E3">
              <w:rPr>
                <w:rFonts w:cs="Arial"/>
                <w:color w:val="000000"/>
                <w:sz w:val="20"/>
              </w:rPr>
              <w:t>dne: ………………..</w:t>
            </w:r>
            <w:r w:rsidR="00BE43D0" w:rsidRPr="00F011CD">
              <w:rPr>
                <w:rFonts w:cs="Arial"/>
                <w:color w:val="000000"/>
                <w:sz w:val="20"/>
              </w:rPr>
              <w:tab/>
            </w:r>
          </w:p>
          <w:p w:rsidR="00BE43D0" w:rsidRPr="00F011CD" w:rsidRDefault="00BE43D0" w:rsidP="000B303F">
            <w:pPr>
              <w:contextualSpacing/>
              <w:rPr>
                <w:rFonts w:cs="Arial"/>
                <w:sz w:val="20"/>
              </w:rPr>
            </w:pPr>
          </w:p>
          <w:p w:rsidR="00BE43D0" w:rsidRPr="00F011CD" w:rsidRDefault="00BE43D0" w:rsidP="000B303F">
            <w:pPr>
              <w:rPr>
                <w:rFonts w:cs="Arial"/>
                <w:sz w:val="20"/>
              </w:rPr>
            </w:pPr>
            <w:r w:rsidRPr="00F011CD">
              <w:rPr>
                <w:rFonts w:cs="Arial"/>
                <w:sz w:val="20"/>
              </w:rPr>
              <w:t>Za nájemce:</w:t>
            </w:r>
          </w:p>
          <w:p w:rsidR="00BE43D0" w:rsidRPr="00F011CD" w:rsidRDefault="003353E3" w:rsidP="000B303F">
            <w:pPr>
              <w:rPr>
                <w:rFonts w:cs="Arial"/>
                <w:sz w:val="20"/>
              </w:rPr>
            </w:pPr>
            <w:r>
              <w:rPr>
                <w:rFonts w:cs="Arial"/>
                <w:sz w:val="20"/>
              </w:rPr>
              <w:t>Správa železnic, státní organizace</w:t>
            </w:r>
          </w:p>
          <w:p w:rsidR="00BE43D0" w:rsidRPr="00F011CD" w:rsidRDefault="00BE43D0" w:rsidP="000B303F">
            <w:pPr>
              <w:rPr>
                <w:rFonts w:cs="Arial"/>
                <w:sz w:val="20"/>
              </w:rPr>
            </w:pPr>
          </w:p>
          <w:p w:rsidR="00BE43D0" w:rsidRPr="00F011CD" w:rsidRDefault="00BE43D0" w:rsidP="000B303F">
            <w:pPr>
              <w:rPr>
                <w:rFonts w:cs="Arial"/>
                <w:sz w:val="20"/>
              </w:rPr>
            </w:pPr>
          </w:p>
          <w:p w:rsidR="00BE43D0" w:rsidRDefault="00BE43D0" w:rsidP="000B303F">
            <w:pPr>
              <w:rPr>
                <w:rFonts w:cs="Arial"/>
                <w:sz w:val="20"/>
              </w:rPr>
            </w:pPr>
          </w:p>
          <w:p w:rsidR="00693A40" w:rsidRDefault="00693A40" w:rsidP="000B303F">
            <w:pPr>
              <w:rPr>
                <w:rFonts w:cs="Arial"/>
                <w:sz w:val="20"/>
              </w:rPr>
            </w:pPr>
          </w:p>
          <w:p w:rsidR="00BE43D0" w:rsidRPr="00F011CD" w:rsidRDefault="00BE43D0" w:rsidP="000B303F">
            <w:pPr>
              <w:rPr>
                <w:rFonts w:cs="Arial"/>
                <w:sz w:val="20"/>
              </w:rPr>
            </w:pPr>
          </w:p>
          <w:p w:rsidR="00BE43D0" w:rsidRPr="00F011CD" w:rsidRDefault="00BE43D0" w:rsidP="000B303F">
            <w:pPr>
              <w:rPr>
                <w:rFonts w:cs="Arial"/>
                <w:sz w:val="20"/>
              </w:rPr>
            </w:pPr>
            <w:r w:rsidRPr="00F011CD">
              <w:rPr>
                <w:rFonts w:cs="Arial"/>
                <w:sz w:val="20"/>
              </w:rPr>
              <w:t>____________________________</w:t>
            </w:r>
          </w:p>
          <w:p w:rsidR="006F63CD" w:rsidRDefault="006F63CD" w:rsidP="00420D3E">
            <w:pPr>
              <w:tabs>
                <w:tab w:val="left" w:pos="0"/>
              </w:tabs>
              <w:rPr>
                <w:rFonts w:cs="Arial"/>
                <w:sz w:val="20"/>
              </w:rPr>
            </w:pPr>
            <w:r>
              <w:rPr>
                <w:rFonts w:cs="Arial"/>
                <w:sz w:val="20"/>
              </w:rPr>
              <w:t>Ing. Jiří Macho</w:t>
            </w:r>
          </w:p>
          <w:p w:rsidR="00693A40" w:rsidRDefault="003353E3" w:rsidP="00420D3E">
            <w:pPr>
              <w:tabs>
                <w:tab w:val="left" w:pos="0"/>
              </w:tabs>
              <w:rPr>
                <w:rFonts w:cs="Arial"/>
                <w:sz w:val="20"/>
              </w:rPr>
            </w:pPr>
            <w:r w:rsidRPr="00BF4F98">
              <w:rPr>
                <w:rFonts w:cs="Arial"/>
                <w:sz w:val="18"/>
                <w:szCs w:val="18"/>
                <w:lang w:eastAsia="ar-SA"/>
              </w:rPr>
              <w:t xml:space="preserve">ředitel </w:t>
            </w:r>
            <w:r w:rsidR="006F63CD" w:rsidRPr="00B041F2">
              <w:rPr>
                <w:rFonts w:cs="Arial"/>
                <w:sz w:val="20"/>
              </w:rPr>
              <w:t>Oblastního ředitelství Ostrava</w:t>
            </w:r>
          </w:p>
          <w:p w:rsidR="00420D3E" w:rsidRDefault="00420D3E" w:rsidP="00420D3E">
            <w:pPr>
              <w:tabs>
                <w:tab w:val="left" w:pos="0"/>
              </w:tabs>
              <w:rPr>
                <w:rFonts w:cs="Arial"/>
                <w:sz w:val="20"/>
              </w:rPr>
            </w:pPr>
          </w:p>
          <w:p w:rsidR="00420D3E" w:rsidRDefault="00420D3E" w:rsidP="00420D3E">
            <w:pPr>
              <w:tabs>
                <w:tab w:val="left" w:pos="0"/>
              </w:tabs>
              <w:rPr>
                <w:rFonts w:cs="Arial"/>
                <w:sz w:val="20"/>
              </w:rPr>
            </w:pPr>
          </w:p>
          <w:p w:rsidR="00420D3E" w:rsidRDefault="00420D3E" w:rsidP="00420D3E">
            <w:pPr>
              <w:tabs>
                <w:tab w:val="left" w:pos="0"/>
              </w:tabs>
              <w:rPr>
                <w:rFonts w:cs="Arial"/>
                <w:sz w:val="20"/>
              </w:rPr>
            </w:pPr>
          </w:p>
          <w:p w:rsidR="00420D3E" w:rsidRDefault="00420D3E" w:rsidP="00420D3E">
            <w:pPr>
              <w:tabs>
                <w:tab w:val="left" w:pos="0"/>
              </w:tabs>
              <w:rPr>
                <w:rFonts w:cs="Arial"/>
                <w:sz w:val="20"/>
              </w:rPr>
            </w:pPr>
          </w:p>
          <w:p w:rsidR="00420D3E" w:rsidRDefault="00420D3E" w:rsidP="00420D3E">
            <w:pPr>
              <w:tabs>
                <w:tab w:val="left" w:pos="0"/>
              </w:tabs>
              <w:rPr>
                <w:rFonts w:cs="Arial"/>
                <w:sz w:val="20"/>
              </w:rPr>
            </w:pPr>
          </w:p>
          <w:p w:rsidR="00420D3E" w:rsidRDefault="00420D3E" w:rsidP="00420D3E">
            <w:pPr>
              <w:tabs>
                <w:tab w:val="left" w:pos="0"/>
              </w:tabs>
              <w:rPr>
                <w:rFonts w:cs="Arial"/>
                <w:sz w:val="20"/>
              </w:rPr>
            </w:pPr>
          </w:p>
          <w:p w:rsidR="00420D3E" w:rsidRDefault="00420D3E" w:rsidP="00420D3E">
            <w:pPr>
              <w:tabs>
                <w:tab w:val="left" w:pos="0"/>
              </w:tabs>
              <w:rPr>
                <w:rFonts w:cs="Arial"/>
                <w:sz w:val="20"/>
              </w:rPr>
            </w:pPr>
          </w:p>
          <w:p w:rsidR="00420D3E" w:rsidRPr="00420D3E" w:rsidRDefault="00420D3E" w:rsidP="00420D3E">
            <w:pPr>
              <w:tabs>
                <w:tab w:val="left" w:pos="0"/>
              </w:tabs>
              <w:rPr>
                <w:rFonts w:cs="Arial"/>
                <w:sz w:val="20"/>
              </w:rPr>
            </w:pPr>
          </w:p>
        </w:tc>
        <w:tc>
          <w:tcPr>
            <w:tcW w:w="4769" w:type="dxa"/>
          </w:tcPr>
          <w:p w:rsidR="00BE43D0" w:rsidRPr="00F011CD" w:rsidRDefault="00BE43D0" w:rsidP="000B303F">
            <w:pPr>
              <w:tabs>
                <w:tab w:val="left" w:pos="0"/>
                <w:tab w:val="left" w:pos="5670"/>
                <w:tab w:val="left" w:pos="6120"/>
              </w:tabs>
              <w:spacing w:before="120"/>
              <w:rPr>
                <w:rFonts w:cs="Arial"/>
                <w:color w:val="000000"/>
                <w:sz w:val="20"/>
              </w:rPr>
            </w:pPr>
            <w:r w:rsidRPr="00F011CD">
              <w:rPr>
                <w:rFonts w:cs="Arial"/>
                <w:color w:val="000000"/>
                <w:sz w:val="20"/>
              </w:rPr>
              <w:t>V </w:t>
            </w:r>
            <w:r>
              <w:rPr>
                <w:rFonts w:cs="Arial"/>
                <w:color w:val="000000"/>
                <w:sz w:val="20"/>
              </w:rPr>
              <w:t>Brně</w:t>
            </w:r>
            <w:r w:rsidRPr="00F011CD">
              <w:rPr>
                <w:rFonts w:cs="Arial"/>
                <w:color w:val="000000"/>
                <w:sz w:val="20"/>
              </w:rPr>
              <w:t xml:space="preserve"> dne: ……………………</w:t>
            </w:r>
            <w:r w:rsidRPr="00F011CD">
              <w:rPr>
                <w:rFonts w:cs="Arial"/>
                <w:color w:val="000000"/>
                <w:sz w:val="20"/>
              </w:rPr>
              <w:tab/>
            </w:r>
          </w:p>
          <w:p w:rsidR="00BE43D0" w:rsidRPr="00F011CD" w:rsidRDefault="00BE43D0" w:rsidP="000B303F">
            <w:pPr>
              <w:contextualSpacing/>
              <w:rPr>
                <w:rFonts w:cs="Arial"/>
                <w:sz w:val="20"/>
              </w:rPr>
            </w:pPr>
          </w:p>
          <w:p w:rsidR="00BE43D0" w:rsidRPr="00F011CD" w:rsidRDefault="00BE43D0" w:rsidP="000B303F">
            <w:pPr>
              <w:contextualSpacing/>
              <w:rPr>
                <w:rFonts w:cs="Arial"/>
                <w:sz w:val="20"/>
              </w:rPr>
            </w:pPr>
            <w:r w:rsidRPr="00F011CD">
              <w:rPr>
                <w:rFonts w:cs="Arial"/>
                <w:sz w:val="20"/>
              </w:rPr>
              <w:t>Za pronajímatele:</w:t>
            </w:r>
            <w:r w:rsidRPr="00F011CD">
              <w:rPr>
                <w:rFonts w:cs="Arial"/>
                <w:sz w:val="20"/>
              </w:rPr>
              <w:tab/>
            </w:r>
            <w:r w:rsidRPr="00F011CD">
              <w:rPr>
                <w:rFonts w:cs="Arial"/>
                <w:sz w:val="20"/>
              </w:rPr>
              <w:tab/>
            </w:r>
            <w:r w:rsidRPr="00F011CD">
              <w:rPr>
                <w:rFonts w:cs="Arial"/>
                <w:sz w:val="20"/>
              </w:rPr>
              <w:tab/>
            </w:r>
          </w:p>
          <w:p w:rsidR="00BE43D0" w:rsidRPr="00F011CD" w:rsidRDefault="00BE43D0" w:rsidP="000B303F">
            <w:pPr>
              <w:rPr>
                <w:rFonts w:cs="Arial"/>
                <w:sz w:val="20"/>
              </w:rPr>
            </w:pPr>
            <w:r w:rsidRPr="00091C53">
              <w:rPr>
                <w:rFonts w:cs="Arial"/>
                <w:sz w:val="20"/>
              </w:rPr>
              <w:t>České dráhy, a.s</w:t>
            </w:r>
            <w:r>
              <w:rPr>
                <w:rFonts w:cs="Arial"/>
                <w:sz w:val="20"/>
              </w:rPr>
              <w:t>.</w:t>
            </w:r>
          </w:p>
          <w:p w:rsidR="00BE43D0" w:rsidRPr="00F011CD" w:rsidRDefault="00BE43D0" w:rsidP="000B303F">
            <w:pPr>
              <w:rPr>
                <w:rFonts w:cs="Arial"/>
                <w:sz w:val="20"/>
              </w:rPr>
            </w:pPr>
          </w:p>
          <w:p w:rsidR="00BE43D0" w:rsidRPr="00F011CD" w:rsidRDefault="00BE43D0" w:rsidP="000B303F">
            <w:pPr>
              <w:rPr>
                <w:rFonts w:cs="Arial"/>
                <w:sz w:val="20"/>
              </w:rPr>
            </w:pPr>
          </w:p>
          <w:p w:rsidR="00BE43D0" w:rsidRPr="00F011CD" w:rsidRDefault="00BE43D0" w:rsidP="000B303F">
            <w:pPr>
              <w:rPr>
                <w:rFonts w:cs="Arial"/>
                <w:sz w:val="20"/>
              </w:rPr>
            </w:pPr>
          </w:p>
          <w:p w:rsidR="00BE43D0" w:rsidRDefault="00BE43D0" w:rsidP="000B303F">
            <w:pPr>
              <w:rPr>
                <w:rFonts w:cs="Arial"/>
                <w:sz w:val="20"/>
              </w:rPr>
            </w:pPr>
          </w:p>
          <w:p w:rsidR="00BE43D0" w:rsidRPr="00F011CD" w:rsidRDefault="00BE43D0" w:rsidP="000B303F">
            <w:pPr>
              <w:rPr>
                <w:rFonts w:cs="Arial"/>
                <w:sz w:val="20"/>
              </w:rPr>
            </w:pPr>
          </w:p>
          <w:p w:rsidR="00BE43D0" w:rsidRDefault="00BE43D0" w:rsidP="000B303F">
            <w:pPr>
              <w:rPr>
                <w:rFonts w:cs="Arial"/>
                <w:sz w:val="20"/>
              </w:rPr>
            </w:pPr>
            <w:r>
              <w:rPr>
                <w:rFonts w:cs="Arial"/>
                <w:sz w:val="20"/>
              </w:rPr>
              <w:t>_____________________________</w:t>
            </w:r>
            <w:r w:rsidRPr="00F011CD">
              <w:rPr>
                <w:rFonts w:cs="Arial"/>
                <w:sz w:val="20"/>
              </w:rPr>
              <w:tab/>
            </w:r>
            <w:r w:rsidRPr="00F011CD">
              <w:rPr>
                <w:rFonts w:cs="Arial"/>
                <w:sz w:val="20"/>
              </w:rPr>
              <w:tab/>
            </w:r>
          </w:p>
          <w:p w:rsidR="006F63CD" w:rsidRDefault="006F63CD" w:rsidP="000B303F">
            <w:pPr>
              <w:rPr>
                <w:rFonts w:cs="Arial"/>
                <w:sz w:val="20"/>
              </w:rPr>
            </w:pPr>
            <w:r>
              <w:rPr>
                <w:rFonts w:cs="Arial"/>
                <w:sz w:val="20"/>
              </w:rPr>
              <w:t>Mgr. Martin Špinka, MBA</w:t>
            </w:r>
          </w:p>
          <w:p w:rsidR="00BE43D0" w:rsidRPr="00F011CD" w:rsidRDefault="003353E3" w:rsidP="000B303F">
            <w:pPr>
              <w:rPr>
                <w:rFonts w:cs="Arial"/>
                <w:sz w:val="20"/>
              </w:rPr>
            </w:pPr>
            <w:r>
              <w:rPr>
                <w:rFonts w:cs="Arial"/>
                <w:sz w:val="20"/>
              </w:rPr>
              <w:t>ř</w:t>
            </w:r>
            <w:r w:rsidR="00BE43D0">
              <w:rPr>
                <w:rFonts w:cs="Arial"/>
                <w:sz w:val="20"/>
              </w:rPr>
              <w:t>editel Regionální správy majetku Brno</w:t>
            </w:r>
            <w:r w:rsidR="00BE43D0" w:rsidRPr="00F011CD">
              <w:rPr>
                <w:rFonts w:cs="Arial"/>
                <w:sz w:val="20"/>
              </w:rPr>
              <w:tab/>
            </w:r>
          </w:p>
          <w:p w:rsidR="00BE43D0" w:rsidRPr="00F011CD" w:rsidRDefault="00BE43D0" w:rsidP="000B303F">
            <w:pPr>
              <w:ind w:left="5219" w:hanging="5219"/>
              <w:rPr>
                <w:rFonts w:cs="Arial"/>
                <w:sz w:val="20"/>
              </w:rPr>
            </w:pPr>
          </w:p>
        </w:tc>
      </w:tr>
    </w:tbl>
    <w:p w:rsidR="00E13C49" w:rsidRDefault="00E13C49"/>
    <w:sectPr w:rsidR="00E13C49" w:rsidSect="00A10013">
      <w:footerReference w:type="default" r:id="rId7"/>
      <w:pgSz w:w="11906" w:h="16838" w:code="9"/>
      <w:pgMar w:top="709" w:right="1134" w:bottom="709" w:left="1134" w:header="709" w:footer="8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48A" w:rsidRDefault="00E0448A">
      <w:r>
        <w:separator/>
      </w:r>
    </w:p>
  </w:endnote>
  <w:endnote w:type="continuationSeparator" w:id="0">
    <w:p w:rsidR="00E0448A" w:rsidRDefault="00E04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4897471"/>
      <w:docPartObj>
        <w:docPartGallery w:val="Page Numbers (Bottom of Page)"/>
        <w:docPartUnique/>
      </w:docPartObj>
    </w:sdtPr>
    <w:sdtEndPr>
      <w:rPr>
        <w:sz w:val="14"/>
        <w:szCs w:val="14"/>
      </w:rPr>
    </w:sdtEndPr>
    <w:sdtContent>
      <w:p w:rsidR="009C2B54" w:rsidRPr="009C2B54" w:rsidRDefault="009C2B54">
        <w:pPr>
          <w:pStyle w:val="Zpat"/>
          <w:jc w:val="center"/>
          <w:rPr>
            <w:sz w:val="14"/>
            <w:szCs w:val="14"/>
          </w:rPr>
        </w:pPr>
        <w:r w:rsidRPr="009C2B54">
          <w:rPr>
            <w:rFonts w:ascii="Tahoma" w:hAnsi="Tahoma" w:cs="Tahoma"/>
            <w:sz w:val="14"/>
            <w:szCs w:val="14"/>
          </w:rPr>
          <w:fldChar w:fldCharType="begin"/>
        </w:r>
        <w:r w:rsidRPr="009C2B54">
          <w:rPr>
            <w:rFonts w:ascii="Tahoma" w:hAnsi="Tahoma" w:cs="Tahoma"/>
            <w:sz w:val="14"/>
            <w:szCs w:val="14"/>
          </w:rPr>
          <w:instrText>PAGE   \* MERGEFORMAT</w:instrText>
        </w:r>
        <w:r w:rsidRPr="009C2B54">
          <w:rPr>
            <w:rFonts w:ascii="Tahoma" w:hAnsi="Tahoma" w:cs="Tahoma"/>
            <w:sz w:val="14"/>
            <w:szCs w:val="14"/>
          </w:rPr>
          <w:fldChar w:fldCharType="separate"/>
        </w:r>
        <w:r w:rsidR="002F4B93" w:rsidRPr="002F4B93">
          <w:rPr>
            <w:rFonts w:ascii="Tahoma" w:hAnsi="Tahoma" w:cs="Tahoma"/>
            <w:noProof/>
            <w:sz w:val="14"/>
            <w:szCs w:val="14"/>
            <w:lang w:val="cs-CZ"/>
          </w:rPr>
          <w:t>6</w:t>
        </w:r>
        <w:r w:rsidRPr="009C2B54">
          <w:rPr>
            <w:rFonts w:ascii="Tahoma" w:hAnsi="Tahoma" w:cs="Tahoma"/>
            <w:sz w:val="14"/>
            <w:szCs w:val="14"/>
          </w:rPr>
          <w:fldChar w:fldCharType="end"/>
        </w:r>
      </w:p>
    </w:sdtContent>
  </w:sdt>
  <w:p w:rsidR="009C2B54" w:rsidRPr="00943ED8" w:rsidRDefault="009C2B54" w:rsidP="009C2B54">
    <w:pPr>
      <w:pStyle w:val="Zpat"/>
      <w:jc w:val="left"/>
      <w:rPr>
        <w:rFonts w:ascii="Tahoma" w:hAnsi="Tahoma" w:cs="Tahoma"/>
        <w:sz w:val="10"/>
        <w:szCs w:val="10"/>
        <w:lang w:val="cs-CZ"/>
      </w:rPr>
    </w:pPr>
    <w:r w:rsidRPr="009673C7">
      <w:rPr>
        <w:rFonts w:ascii="Tahoma" w:hAnsi="Tahoma" w:cs="Tahoma"/>
        <w:sz w:val="10"/>
        <w:szCs w:val="10"/>
      </w:rPr>
      <w:t xml:space="preserve">Nájemní smlouva č. </w:t>
    </w:r>
    <w:r w:rsidR="00303DB5" w:rsidRPr="00303DB5">
      <w:rPr>
        <w:rFonts w:ascii="Tahoma" w:hAnsi="Tahoma" w:cs="Tahoma"/>
        <w:sz w:val="10"/>
        <w:szCs w:val="10"/>
      </w:rPr>
      <w:t>2627504723</w:t>
    </w:r>
  </w:p>
  <w:p w:rsidR="009C2B54" w:rsidRPr="002926B3" w:rsidRDefault="009C2B54" w:rsidP="009C2B54">
    <w:pPr>
      <w:pStyle w:val="Zpat"/>
      <w:jc w:val="left"/>
      <w:rPr>
        <w:rFonts w:ascii="Tahoma" w:hAnsi="Tahoma" w:cs="Tahoma"/>
        <w:sz w:val="10"/>
        <w:szCs w:val="10"/>
        <w:lang w:val="cs-CZ"/>
      </w:rPr>
    </w:pPr>
    <w:r w:rsidRPr="009673C7">
      <w:rPr>
        <w:rFonts w:ascii="Tahoma" w:hAnsi="Tahoma" w:cs="Tahoma"/>
        <w:sz w:val="10"/>
        <w:szCs w:val="10"/>
      </w:rPr>
      <w:t xml:space="preserve">Regionální správa majetku </w:t>
    </w:r>
    <w:r>
      <w:rPr>
        <w:rFonts w:ascii="Tahoma" w:hAnsi="Tahoma" w:cs="Tahoma"/>
        <w:sz w:val="10"/>
        <w:szCs w:val="10"/>
        <w:lang w:val="cs-CZ"/>
      </w:rPr>
      <w:t>Brno</w:t>
    </w:r>
  </w:p>
  <w:p w:rsidR="00617FED" w:rsidRPr="001F1CFB" w:rsidRDefault="00E0448A" w:rsidP="00195F4C">
    <w:pPr>
      <w:pStyle w:val="Zpat"/>
      <w:tabs>
        <w:tab w:val="left" w:pos="538"/>
        <w:tab w:val="center" w:pos="4819"/>
      </w:tabs>
      <w:jc w:val="left"/>
      <w:rPr>
        <w:rFonts w:ascii="Tahoma" w:hAnsi="Tahoma" w:cs="Tahom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48A" w:rsidRDefault="00E0448A">
      <w:r>
        <w:separator/>
      </w:r>
    </w:p>
  </w:footnote>
  <w:footnote w:type="continuationSeparator" w:id="0">
    <w:p w:rsidR="00E0448A" w:rsidRDefault="00E044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D101D"/>
    <w:multiLevelType w:val="hybridMultilevel"/>
    <w:tmpl w:val="F08A720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F151C87"/>
    <w:multiLevelType w:val="hybridMultilevel"/>
    <w:tmpl w:val="12F0C20E"/>
    <w:lvl w:ilvl="0" w:tplc="2B4204A8">
      <w:start w:val="1"/>
      <w:numFmt w:val="decimal"/>
      <w:lvlText w:val="%1."/>
      <w:lvlJc w:val="left"/>
      <w:pPr>
        <w:tabs>
          <w:tab w:val="num" w:pos="360"/>
        </w:tabs>
        <w:ind w:left="360" w:hanging="360"/>
      </w:pPr>
      <w:rPr>
        <w:rFonts w:ascii="Arial" w:hAnsi="Arial" w:cs="Arial" w:hint="default"/>
        <w:b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263E4BF9"/>
    <w:multiLevelType w:val="hybridMultilevel"/>
    <w:tmpl w:val="CC68503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C863914"/>
    <w:multiLevelType w:val="hybridMultilevel"/>
    <w:tmpl w:val="27C63E66"/>
    <w:lvl w:ilvl="0" w:tplc="203635D0">
      <w:start w:val="1"/>
      <w:numFmt w:val="decimal"/>
      <w:lvlText w:val="%1."/>
      <w:lvlJc w:val="left"/>
      <w:pPr>
        <w:tabs>
          <w:tab w:val="num" w:pos="360"/>
        </w:tabs>
        <w:ind w:left="360" w:hanging="360"/>
      </w:pPr>
      <w:rPr>
        <w:rFonts w:ascii="Arial" w:hAnsi="Arial" w:cs="Arial" w:hint="default"/>
        <w:b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483A16E2"/>
    <w:multiLevelType w:val="hybridMultilevel"/>
    <w:tmpl w:val="E5582528"/>
    <w:lvl w:ilvl="0" w:tplc="D456873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484E217F"/>
    <w:multiLevelType w:val="multilevel"/>
    <w:tmpl w:val="CF34B584"/>
    <w:lvl w:ilvl="0">
      <w:start w:val="1"/>
      <w:numFmt w:val="decimal"/>
      <w:lvlText w:val="%1."/>
      <w:lvlJc w:val="left"/>
      <w:pPr>
        <w:tabs>
          <w:tab w:val="num" w:pos="0"/>
        </w:tabs>
        <w:ind w:left="283" w:hanging="283"/>
      </w:pPr>
      <w:rPr>
        <w:rFonts w:ascii="Arial" w:hAnsi="Arial" w:cs="Arial" w:hint="default"/>
        <w:sz w:val="20"/>
        <w:szCs w:val="2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FE673CA"/>
    <w:multiLevelType w:val="hybridMultilevel"/>
    <w:tmpl w:val="C032B7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0075B14"/>
    <w:multiLevelType w:val="singleLevel"/>
    <w:tmpl w:val="CDA26740"/>
    <w:lvl w:ilvl="0">
      <w:start w:val="2"/>
      <w:numFmt w:val="decimal"/>
      <w:lvlText w:val="%1."/>
      <w:lvlJc w:val="left"/>
      <w:pPr>
        <w:ind w:left="360" w:hanging="360"/>
      </w:pPr>
      <w:rPr>
        <w:rFonts w:hint="default"/>
        <w:b w:val="0"/>
      </w:rPr>
    </w:lvl>
  </w:abstractNum>
  <w:abstractNum w:abstractNumId="8" w15:restartNumberingAfterBreak="0">
    <w:nsid w:val="52845FDD"/>
    <w:multiLevelType w:val="hybridMultilevel"/>
    <w:tmpl w:val="C5109B0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9402DB4"/>
    <w:multiLevelType w:val="hybridMultilevel"/>
    <w:tmpl w:val="3872F014"/>
    <w:lvl w:ilvl="0" w:tplc="0405000F">
      <w:start w:val="1"/>
      <w:numFmt w:val="decimal"/>
      <w:lvlText w:val="%1."/>
      <w:lvlJc w:val="left"/>
      <w:pPr>
        <w:tabs>
          <w:tab w:val="num" w:pos="502"/>
        </w:tabs>
        <w:ind w:left="502"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65AC3462"/>
    <w:multiLevelType w:val="hybridMultilevel"/>
    <w:tmpl w:val="C2A27076"/>
    <w:lvl w:ilvl="0" w:tplc="381E528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1"/>
  </w:num>
  <w:num w:numId="3">
    <w:abstractNumId w:val="4"/>
  </w:num>
  <w:num w:numId="4">
    <w:abstractNumId w:val="5"/>
  </w:num>
  <w:num w:numId="5">
    <w:abstractNumId w:val="3"/>
  </w:num>
  <w:num w:numId="6">
    <w:abstractNumId w:val="2"/>
  </w:num>
  <w:num w:numId="7">
    <w:abstractNumId w:val="8"/>
  </w:num>
  <w:num w:numId="8">
    <w:abstractNumId w:val="10"/>
  </w:num>
  <w:num w:numId="9">
    <w:abstractNumId w:val="0"/>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3D0"/>
    <w:rsid w:val="00013C8F"/>
    <w:rsid w:val="00026A60"/>
    <w:rsid w:val="000367D1"/>
    <w:rsid w:val="00064DD5"/>
    <w:rsid w:val="00091B9C"/>
    <w:rsid w:val="000933FE"/>
    <w:rsid w:val="000A156B"/>
    <w:rsid w:val="000A43B2"/>
    <w:rsid w:val="000E28F7"/>
    <w:rsid w:val="000E592B"/>
    <w:rsid w:val="000E65FC"/>
    <w:rsid w:val="00126DB3"/>
    <w:rsid w:val="00147310"/>
    <w:rsid w:val="00184438"/>
    <w:rsid w:val="001870E4"/>
    <w:rsid w:val="00195159"/>
    <w:rsid w:val="001A4042"/>
    <w:rsid w:val="001B3E6B"/>
    <w:rsid w:val="001C3B0F"/>
    <w:rsid w:val="002013B1"/>
    <w:rsid w:val="00207AAE"/>
    <w:rsid w:val="0025225B"/>
    <w:rsid w:val="002720B7"/>
    <w:rsid w:val="0028060D"/>
    <w:rsid w:val="002B798B"/>
    <w:rsid w:val="002C2A49"/>
    <w:rsid w:val="002C668F"/>
    <w:rsid w:val="002D6CC9"/>
    <w:rsid w:val="002F4B93"/>
    <w:rsid w:val="00301D62"/>
    <w:rsid w:val="00303DB5"/>
    <w:rsid w:val="00320F3D"/>
    <w:rsid w:val="0032250B"/>
    <w:rsid w:val="003353E3"/>
    <w:rsid w:val="0034604A"/>
    <w:rsid w:val="00352168"/>
    <w:rsid w:val="00383074"/>
    <w:rsid w:val="003877EB"/>
    <w:rsid w:val="003915EC"/>
    <w:rsid w:val="003917AA"/>
    <w:rsid w:val="00394AE5"/>
    <w:rsid w:val="003A3213"/>
    <w:rsid w:val="003A34DF"/>
    <w:rsid w:val="003D6B44"/>
    <w:rsid w:val="003E7E11"/>
    <w:rsid w:val="003F10E8"/>
    <w:rsid w:val="003F5469"/>
    <w:rsid w:val="00420D3E"/>
    <w:rsid w:val="00423675"/>
    <w:rsid w:val="00426588"/>
    <w:rsid w:val="00441275"/>
    <w:rsid w:val="004439B0"/>
    <w:rsid w:val="004622FD"/>
    <w:rsid w:val="00467BBA"/>
    <w:rsid w:val="00477232"/>
    <w:rsid w:val="004B6D9B"/>
    <w:rsid w:val="004C22F0"/>
    <w:rsid w:val="004C4DA2"/>
    <w:rsid w:val="004D0D88"/>
    <w:rsid w:val="004E0716"/>
    <w:rsid w:val="00514F85"/>
    <w:rsid w:val="0052611B"/>
    <w:rsid w:val="00571D2E"/>
    <w:rsid w:val="00574221"/>
    <w:rsid w:val="00582151"/>
    <w:rsid w:val="00582595"/>
    <w:rsid w:val="00590343"/>
    <w:rsid w:val="005A1D1C"/>
    <w:rsid w:val="005A1F11"/>
    <w:rsid w:val="005A255E"/>
    <w:rsid w:val="005B20D2"/>
    <w:rsid w:val="005B598A"/>
    <w:rsid w:val="005B77ED"/>
    <w:rsid w:val="005D3D1F"/>
    <w:rsid w:val="005F06A8"/>
    <w:rsid w:val="005F40E1"/>
    <w:rsid w:val="006011EA"/>
    <w:rsid w:val="006125D9"/>
    <w:rsid w:val="0063029F"/>
    <w:rsid w:val="00632909"/>
    <w:rsid w:val="00663EAC"/>
    <w:rsid w:val="00674925"/>
    <w:rsid w:val="006901C4"/>
    <w:rsid w:val="00693A40"/>
    <w:rsid w:val="006C04C7"/>
    <w:rsid w:val="006C2009"/>
    <w:rsid w:val="006D556A"/>
    <w:rsid w:val="006F2010"/>
    <w:rsid w:val="006F5D36"/>
    <w:rsid w:val="006F63CD"/>
    <w:rsid w:val="00711B4E"/>
    <w:rsid w:val="00714421"/>
    <w:rsid w:val="007146F2"/>
    <w:rsid w:val="00721793"/>
    <w:rsid w:val="007313A5"/>
    <w:rsid w:val="00743226"/>
    <w:rsid w:val="0076475B"/>
    <w:rsid w:val="007717C9"/>
    <w:rsid w:val="0079436C"/>
    <w:rsid w:val="007A2F35"/>
    <w:rsid w:val="007B07E5"/>
    <w:rsid w:val="007E6697"/>
    <w:rsid w:val="007E6AD8"/>
    <w:rsid w:val="0080035D"/>
    <w:rsid w:val="00801448"/>
    <w:rsid w:val="00820009"/>
    <w:rsid w:val="00824D54"/>
    <w:rsid w:val="0082727E"/>
    <w:rsid w:val="00834A84"/>
    <w:rsid w:val="008364BB"/>
    <w:rsid w:val="008733F6"/>
    <w:rsid w:val="00877515"/>
    <w:rsid w:val="00881CE4"/>
    <w:rsid w:val="00892EF3"/>
    <w:rsid w:val="008C7545"/>
    <w:rsid w:val="008D1A37"/>
    <w:rsid w:val="008D353E"/>
    <w:rsid w:val="008E2F70"/>
    <w:rsid w:val="008E4EDA"/>
    <w:rsid w:val="008F4880"/>
    <w:rsid w:val="0091045F"/>
    <w:rsid w:val="00937699"/>
    <w:rsid w:val="00943ED8"/>
    <w:rsid w:val="00947CB3"/>
    <w:rsid w:val="009614F0"/>
    <w:rsid w:val="0096714F"/>
    <w:rsid w:val="0097735F"/>
    <w:rsid w:val="0098324C"/>
    <w:rsid w:val="009A4140"/>
    <w:rsid w:val="009C25BD"/>
    <w:rsid w:val="009C2B54"/>
    <w:rsid w:val="009F0370"/>
    <w:rsid w:val="009F5D4F"/>
    <w:rsid w:val="00A35C91"/>
    <w:rsid w:val="00A4605E"/>
    <w:rsid w:val="00A62080"/>
    <w:rsid w:val="00A62F97"/>
    <w:rsid w:val="00A949E2"/>
    <w:rsid w:val="00AA0B5B"/>
    <w:rsid w:val="00B435AA"/>
    <w:rsid w:val="00B65126"/>
    <w:rsid w:val="00B818DF"/>
    <w:rsid w:val="00B86FB0"/>
    <w:rsid w:val="00B94AA8"/>
    <w:rsid w:val="00B957E4"/>
    <w:rsid w:val="00BC49D3"/>
    <w:rsid w:val="00BD1633"/>
    <w:rsid w:val="00BE064A"/>
    <w:rsid w:val="00BE43D0"/>
    <w:rsid w:val="00BE5B16"/>
    <w:rsid w:val="00C1222A"/>
    <w:rsid w:val="00C32998"/>
    <w:rsid w:val="00C65DFB"/>
    <w:rsid w:val="00C71189"/>
    <w:rsid w:val="00C851F9"/>
    <w:rsid w:val="00CC5E54"/>
    <w:rsid w:val="00CC69B5"/>
    <w:rsid w:val="00CE687C"/>
    <w:rsid w:val="00D05965"/>
    <w:rsid w:val="00D07EAE"/>
    <w:rsid w:val="00D134AB"/>
    <w:rsid w:val="00D43DFE"/>
    <w:rsid w:val="00D81E88"/>
    <w:rsid w:val="00D95AE4"/>
    <w:rsid w:val="00DB12E5"/>
    <w:rsid w:val="00DD7C76"/>
    <w:rsid w:val="00DF7849"/>
    <w:rsid w:val="00E0448A"/>
    <w:rsid w:val="00E12245"/>
    <w:rsid w:val="00E12585"/>
    <w:rsid w:val="00E12A0B"/>
    <w:rsid w:val="00E13C49"/>
    <w:rsid w:val="00E24EA9"/>
    <w:rsid w:val="00E3753B"/>
    <w:rsid w:val="00E450C9"/>
    <w:rsid w:val="00EC37E4"/>
    <w:rsid w:val="00EC7282"/>
    <w:rsid w:val="00EE69AA"/>
    <w:rsid w:val="00EF0363"/>
    <w:rsid w:val="00EF1737"/>
    <w:rsid w:val="00F03999"/>
    <w:rsid w:val="00F12766"/>
    <w:rsid w:val="00F24DB0"/>
    <w:rsid w:val="00F33BB0"/>
    <w:rsid w:val="00F378B1"/>
    <w:rsid w:val="00F43042"/>
    <w:rsid w:val="00F56B3F"/>
    <w:rsid w:val="00F60CB2"/>
    <w:rsid w:val="00FB3408"/>
    <w:rsid w:val="00FC1B82"/>
    <w:rsid w:val="00FC4C93"/>
    <w:rsid w:val="00FD3702"/>
    <w:rsid w:val="00FE74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EA65E"/>
  <w15:docId w15:val="{262023EC-F0C0-40A4-840B-38681CE4F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E43D0"/>
    <w:pPr>
      <w:widowControl w:val="0"/>
      <w:tabs>
        <w:tab w:val="left" w:pos="284"/>
        <w:tab w:val="left" w:pos="567"/>
        <w:tab w:val="left" w:pos="851"/>
        <w:tab w:val="left" w:pos="1134"/>
        <w:tab w:val="left" w:pos="1418"/>
        <w:tab w:val="left" w:pos="1701"/>
        <w:tab w:val="left" w:pos="1985"/>
        <w:tab w:val="left" w:pos="2268"/>
        <w:tab w:val="left" w:pos="2552"/>
        <w:tab w:val="left" w:pos="2835"/>
      </w:tabs>
      <w:overflowPunct w:val="0"/>
      <w:autoSpaceDE w:val="0"/>
      <w:autoSpaceDN w:val="0"/>
      <w:adjustRightInd w:val="0"/>
      <w:spacing w:after="0" w:line="240" w:lineRule="auto"/>
      <w:jc w:val="both"/>
      <w:textAlignment w:val="baseline"/>
    </w:pPr>
    <w:rPr>
      <w:rFonts w:ascii="Arial" w:eastAsia="Times New Roman" w:hAnsi="Arial" w:cs="Times New Roman"/>
      <w:szCs w:val="20"/>
      <w:lang w:eastAsia="cs-CZ"/>
    </w:rPr>
  </w:style>
  <w:style w:type="paragraph" w:styleId="Nadpis1">
    <w:name w:val="heading 1"/>
    <w:basedOn w:val="Normln"/>
    <w:next w:val="Normln"/>
    <w:link w:val="Nadpis1Char"/>
    <w:qFormat/>
    <w:rsid w:val="00BE43D0"/>
    <w:pPr>
      <w:keepNext/>
      <w:widowControl/>
      <w:spacing w:before="240"/>
      <w:jc w:val="center"/>
      <w:outlineLvl w:val="0"/>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E43D0"/>
    <w:rPr>
      <w:rFonts w:ascii="Arial" w:eastAsia="Times New Roman" w:hAnsi="Arial" w:cs="Times New Roman"/>
      <w:b/>
      <w:szCs w:val="20"/>
      <w:lang w:eastAsia="cs-CZ"/>
    </w:rPr>
  </w:style>
  <w:style w:type="paragraph" w:customStyle="1" w:styleId="boda">
    <w:name w:val="bod a)"/>
    <w:basedOn w:val="Normln"/>
    <w:rsid w:val="00BE43D0"/>
    <w:pPr>
      <w:ind w:left="284" w:hanging="284"/>
    </w:pPr>
  </w:style>
  <w:style w:type="paragraph" w:styleId="Zkladntext3">
    <w:name w:val="Body Text 3"/>
    <w:basedOn w:val="Normln"/>
    <w:link w:val="Zkladntext3Char"/>
    <w:rsid w:val="00BE43D0"/>
    <w:pPr>
      <w:spacing w:after="120"/>
    </w:pPr>
    <w:rPr>
      <w:sz w:val="16"/>
      <w:szCs w:val="16"/>
    </w:rPr>
  </w:style>
  <w:style w:type="character" w:customStyle="1" w:styleId="Zkladntext3Char">
    <w:name w:val="Základní text 3 Char"/>
    <w:basedOn w:val="Standardnpsmoodstavce"/>
    <w:link w:val="Zkladntext3"/>
    <w:rsid w:val="00BE43D0"/>
    <w:rPr>
      <w:rFonts w:ascii="Arial" w:eastAsia="Times New Roman" w:hAnsi="Arial" w:cs="Times New Roman"/>
      <w:sz w:val="16"/>
      <w:szCs w:val="16"/>
      <w:lang w:eastAsia="cs-CZ"/>
    </w:rPr>
  </w:style>
  <w:style w:type="paragraph" w:styleId="Nzev">
    <w:name w:val="Title"/>
    <w:basedOn w:val="Normln"/>
    <w:link w:val="NzevChar"/>
    <w:qFormat/>
    <w:rsid w:val="00BE43D0"/>
    <w:pPr>
      <w:widowControl/>
      <w:tabs>
        <w:tab w:val="clear" w:pos="284"/>
        <w:tab w:val="left" w:pos="142"/>
        <w:tab w:val="left" w:pos="425"/>
      </w:tabs>
      <w:spacing w:before="120"/>
      <w:ind w:left="420"/>
      <w:jc w:val="center"/>
    </w:pPr>
    <w:rPr>
      <w:rFonts w:ascii="Tahoma" w:hAnsi="Tahoma"/>
      <w:b/>
      <w:caps/>
      <w:color w:val="000000"/>
      <w:sz w:val="28"/>
    </w:rPr>
  </w:style>
  <w:style w:type="character" w:customStyle="1" w:styleId="NzevChar">
    <w:name w:val="Název Char"/>
    <w:basedOn w:val="Standardnpsmoodstavce"/>
    <w:link w:val="Nzev"/>
    <w:rsid w:val="00BE43D0"/>
    <w:rPr>
      <w:rFonts w:ascii="Tahoma" w:eastAsia="Times New Roman" w:hAnsi="Tahoma" w:cs="Times New Roman"/>
      <w:b/>
      <w:caps/>
      <w:color w:val="000000"/>
      <w:sz w:val="28"/>
      <w:szCs w:val="20"/>
      <w:lang w:eastAsia="cs-CZ"/>
    </w:rPr>
  </w:style>
  <w:style w:type="paragraph" w:styleId="Zkladntextodsazen3">
    <w:name w:val="Body Text Indent 3"/>
    <w:basedOn w:val="Normln"/>
    <w:link w:val="Zkladntextodsazen3Char"/>
    <w:rsid w:val="00BE43D0"/>
    <w:pPr>
      <w:tabs>
        <w:tab w:val="clear" w:pos="284"/>
        <w:tab w:val="clear" w:pos="567"/>
        <w:tab w:val="left" w:pos="709"/>
      </w:tabs>
      <w:ind w:left="709" w:hanging="425"/>
    </w:pPr>
    <w:rPr>
      <w:rFonts w:ascii="Tahoma" w:hAnsi="Tahoma"/>
      <w:color w:val="000000"/>
      <w:sz w:val="20"/>
    </w:rPr>
  </w:style>
  <w:style w:type="character" w:customStyle="1" w:styleId="Zkladntextodsazen3Char">
    <w:name w:val="Základní text odsazený 3 Char"/>
    <w:basedOn w:val="Standardnpsmoodstavce"/>
    <w:link w:val="Zkladntextodsazen3"/>
    <w:rsid w:val="00BE43D0"/>
    <w:rPr>
      <w:rFonts w:ascii="Tahoma" w:eastAsia="Times New Roman" w:hAnsi="Tahoma" w:cs="Times New Roman"/>
      <w:color w:val="000000"/>
      <w:sz w:val="20"/>
      <w:szCs w:val="20"/>
      <w:lang w:eastAsia="cs-CZ"/>
    </w:rPr>
  </w:style>
  <w:style w:type="paragraph" w:styleId="Zpat">
    <w:name w:val="footer"/>
    <w:basedOn w:val="Normln"/>
    <w:link w:val="ZpatChar"/>
    <w:uiPriority w:val="99"/>
    <w:rsid w:val="00BE43D0"/>
    <w:pPr>
      <w:tabs>
        <w:tab w:val="clear" w:pos="284"/>
        <w:tab w:val="clear" w:pos="567"/>
        <w:tab w:val="clear" w:pos="851"/>
        <w:tab w:val="clear" w:pos="1134"/>
        <w:tab w:val="clear" w:pos="1418"/>
        <w:tab w:val="clear" w:pos="1701"/>
        <w:tab w:val="clear" w:pos="1985"/>
        <w:tab w:val="clear" w:pos="2268"/>
        <w:tab w:val="clear" w:pos="2552"/>
        <w:tab w:val="clear" w:pos="2835"/>
        <w:tab w:val="center" w:pos="4536"/>
        <w:tab w:val="right" w:pos="9072"/>
      </w:tabs>
    </w:pPr>
    <w:rPr>
      <w:lang w:val="x-none" w:eastAsia="x-none"/>
    </w:rPr>
  </w:style>
  <w:style w:type="character" w:customStyle="1" w:styleId="ZpatChar">
    <w:name w:val="Zápatí Char"/>
    <w:basedOn w:val="Standardnpsmoodstavce"/>
    <w:link w:val="Zpat"/>
    <w:uiPriority w:val="99"/>
    <w:rsid w:val="00BE43D0"/>
    <w:rPr>
      <w:rFonts w:ascii="Arial" w:eastAsia="Times New Roman" w:hAnsi="Arial" w:cs="Times New Roman"/>
      <w:szCs w:val="20"/>
      <w:lang w:val="x-none" w:eastAsia="x-none"/>
    </w:rPr>
  </w:style>
  <w:style w:type="paragraph" w:customStyle="1" w:styleId="Zkladntextodsazen31">
    <w:name w:val="Základní text odsazený 31"/>
    <w:basedOn w:val="Normln"/>
    <w:rsid w:val="00BE43D0"/>
    <w:pPr>
      <w:tabs>
        <w:tab w:val="clear" w:pos="284"/>
        <w:tab w:val="clear" w:pos="567"/>
        <w:tab w:val="clear" w:pos="851"/>
        <w:tab w:val="clear" w:pos="1134"/>
        <w:tab w:val="clear" w:pos="1418"/>
        <w:tab w:val="clear" w:pos="1701"/>
        <w:tab w:val="clear" w:pos="1985"/>
        <w:tab w:val="clear" w:pos="2268"/>
        <w:tab w:val="clear" w:pos="2552"/>
        <w:tab w:val="clear" w:pos="2835"/>
      </w:tabs>
      <w:suppressAutoHyphens/>
      <w:overflowPunct/>
      <w:autoSpaceDE/>
      <w:autoSpaceDN/>
      <w:adjustRightInd/>
      <w:ind w:firstLine="284"/>
      <w:jc w:val="left"/>
      <w:textAlignment w:val="auto"/>
    </w:pPr>
    <w:rPr>
      <w:rFonts w:ascii="Times New Roman" w:eastAsia="Lucida Sans Unicode" w:hAnsi="Times New Roman"/>
      <w:kern w:val="1"/>
      <w:szCs w:val="24"/>
    </w:rPr>
  </w:style>
  <w:style w:type="character" w:customStyle="1" w:styleId="left">
    <w:name w:val="left"/>
    <w:basedOn w:val="Standardnpsmoodstavce"/>
    <w:rsid w:val="00D134AB"/>
  </w:style>
  <w:style w:type="character" w:styleId="Hypertextovodkaz">
    <w:name w:val="Hyperlink"/>
    <w:basedOn w:val="Standardnpsmoodstavce"/>
    <w:uiPriority w:val="99"/>
    <w:unhideWhenUsed/>
    <w:rsid w:val="000E28F7"/>
    <w:rPr>
      <w:color w:val="0000FF" w:themeColor="hyperlink"/>
      <w:u w:val="single"/>
    </w:rPr>
  </w:style>
  <w:style w:type="paragraph" w:styleId="Textbubliny">
    <w:name w:val="Balloon Text"/>
    <w:basedOn w:val="Normln"/>
    <w:link w:val="TextbublinyChar"/>
    <w:uiPriority w:val="99"/>
    <w:semiHidden/>
    <w:unhideWhenUsed/>
    <w:rsid w:val="007313A5"/>
    <w:rPr>
      <w:rFonts w:ascii="Tahoma" w:hAnsi="Tahoma" w:cs="Tahoma"/>
      <w:sz w:val="16"/>
      <w:szCs w:val="16"/>
    </w:rPr>
  </w:style>
  <w:style w:type="character" w:customStyle="1" w:styleId="TextbublinyChar">
    <w:name w:val="Text bubliny Char"/>
    <w:basedOn w:val="Standardnpsmoodstavce"/>
    <w:link w:val="Textbubliny"/>
    <w:uiPriority w:val="99"/>
    <w:semiHidden/>
    <w:rsid w:val="007313A5"/>
    <w:rPr>
      <w:rFonts w:ascii="Tahoma" w:eastAsia="Times New Roman" w:hAnsi="Tahoma" w:cs="Tahoma"/>
      <w:sz w:val="16"/>
      <w:szCs w:val="16"/>
      <w:lang w:eastAsia="cs-CZ"/>
    </w:rPr>
  </w:style>
  <w:style w:type="paragraph" w:styleId="Zhlav">
    <w:name w:val="header"/>
    <w:basedOn w:val="Normln"/>
    <w:link w:val="ZhlavChar"/>
    <w:uiPriority w:val="99"/>
    <w:unhideWhenUsed/>
    <w:rsid w:val="009C2B54"/>
    <w:pPr>
      <w:tabs>
        <w:tab w:val="clear" w:pos="284"/>
        <w:tab w:val="clear" w:pos="567"/>
        <w:tab w:val="clear" w:pos="851"/>
        <w:tab w:val="clear" w:pos="1134"/>
        <w:tab w:val="clear" w:pos="1418"/>
        <w:tab w:val="clear" w:pos="1701"/>
        <w:tab w:val="clear" w:pos="1985"/>
        <w:tab w:val="clear" w:pos="2268"/>
        <w:tab w:val="clear" w:pos="2552"/>
        <w:tab w:val="clear" w:pos="2835"/>
        <w:tab w:val="center" w:pos="4536"/>
        <w:tab w:val="right" w:pos="9072"/>
      </w:tabs>
    </w:pPr>
  </w:style>
  <w:style w:type="character" w:customStyle="1" w:styleId="ZhlavChar">
    <w:name w:val="Záhlaví Char"/>
    <w:basedOn w:val="Standardnpsmoodstavce"/>
    <w:link w:val="Zhlav"/>
    <w:uiPriority w:val="99"/>
    <w:rsid w:val="009C2B54"/>
    <w:rPr>
      <w:rFonts w:ascii="Arial" w:eastAsia="Times New Roman" w:hAnsi="Arial" w:cs="Times New Roman"/>
      <w:szCs w:val="20"/>
      <w:lang w:eastAsia="cs-CZ"/>
    </w:rPr>
  </w:style>
  <w:style w:type="paragraph" w:styleId="Odstavecseseznamem">
    <w:name w:val="List Paragraph"/>
    <w:basedOn w:val="Normln"/>
    <w:uiPriority w:val="34"/>
    <w:qFormat/>
    <w:rsid w:val="00571D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92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1316</TotalTime>
  <Pages>6</Pages>
  <Words>3273</Words>
  <Characters>19314</Characters>
  <Application>Microsoft Office Word</Application>
  <DocSecurity>0</DocSecurity>
  <Lines>160</Lines>
  <Paragraphs>45</Paragraphs>
  <ScaleCrop>false</ScaleCrop>
  <HeadingPairs>
    <vt:vector size="2" baseType="variant">
      <vt:variant>
        <vt:lpstr>Název</vt:lpstr>
      </vt:variant>
      <vt:variant>
        <vt:i4>1</vt:i4>
      </vt:variant>
    </vt:vector>
  </HeadingPairs>
  <TitlesOfParts>
    <vt:vector size="1" baseType="lpstr">
      <vt:lpstr/>
    </vt:vector>
  </TitlesOfParts>
  <Company>ČD - Informační Systémy, a.s.</Company>
  <LinksUpToDate>false</LinksUpToDate>
  <CharactersWithSpaces>22542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Frgalová Kateřina, Ing.</dc:creator>
  <cp:lastModifiedBy>Frgalová Kateřina, Ing.</cp:lastModifiedBy>
  <cp:revision>108</cp:revision>
  <cp:lastPrinted>2021-04-20T04:17:00Z</cp:lastPrinted>
  <dcterms:created xsi:type="dcterms:W3CDTF">2019-11-28T09:38:00Z</dcterms:created>
  <dcterms:modified xsi:type="dcterms:W3CDTF">2023-04-14T08:43:00Z</dcterms:modified>
</cp:coreProperties>
</file>